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A1" w:rsidRDefault="007410A1" w:rsidP="007410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7410A1" w:rsidRPr="005C6A76" w:rsidRDefault="007410A1" w:rsidP="007410A1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5C6A76">
        <w:rPr>
          <w:b/>
          <w:sz w:val="22"/>
          <w:szCs w:val="22"/>
        </w:rPr>
        <w:t>о проведении аукциона в электронной форме по продаже земельн</w:t>
      </w:r>
      <w:r>
        <w:rPr>
          <w:b/>
          <w:sz w:val="22"/>
          <w:szCs w:val="22"/>
        </w:rPr>
        <w:t>ых</w:t>
      </w:r>
      <w:r w:rsidRPr="005C6A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участков</w:t>
      </w:r>
      <w:r w:rsidRPr="005C6A76">
        <w:rPr>
          <w:b/>
          <w:sz w:val="22"/>
          <w:szCs w:val="22"/>
        </w:rPr>
        <w:t xml:space="preserve"> на электронной торговой площадке АО «Сбербанк - АСТ»,</w:t>
      </w:r>
    </w:p>
    <w:p w:rsidR="007410A1" w:rsidRPr="005C6A76" w:rsidRDefault="004247B5" w:rsidP="007410A1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hyperlink r:id="rId8" w:history="1">
        <w:r w:rsidR="007410A1" w:rsidRPr="001A60AB">
          <w:rPr>
            <w:rStyle w:val="a4"/>
            <w:b/>
            <w:sz w:val="22"/>
            <w:szCs w:val="22"/>
            <w:lang w:val="en-US"/>
          </w:rPr>
          <w:t>http</w:t>
        </w:r>
        <w:r w:rsidR="007410A1" w:rsidRPr="001A60AB">
          <w:rPr>
            <w:rStyle w:val="a4"/>
            <w:b/>
            <w:sz w:val="22"/>
            <w:szCs w:val="22"/>
          </w:rPr>
          <w:t>://</w:t>
        </w:r>
        <w:r w:rsidR="007410A1" w:rsidRPr="001A60AB">
          <w:rPr>
            <w:rStyle w:val="a4"/>
            <w:b/>
            <w:sz w:val="22"/>
            <w:szCs w:val="22"/>
            <w:lang w:val="en-US"/>
          </w:rPr>
          <w:t>utp</w:t>
        </w:r>
        <w:r w:rsidR="007410A1" w:rsidRPr="001A60AB">
          <w:rPr>
            <w:rStyle w:val="a4"/>
            <w:b/>
            <w:sz w:val="22"/>
            <w:szCs w:val="22"/>
          </w:rPr>
          <w:t>.</w:t>
        </w:r>
        <w:r w:rsidR="007410A1" w:rsidRPr="001A60AB">
          <w:rPr>
            <w:rStyle w:val="a4"/>
            <w:b/>
            <w:sz w:val="22"/>
            <w:szCs w:val="22"/>
            <w:lang w:val="en-US"/>
          </w:rPr>
          <w:t>sberbank</w:t>
        </w:r>
        <w:r w:rsidR="007410A1" w:rsidRPr="001A60AB">
          <w:rPr>
            <w:rStyle w:val="a4"/>
            <w:b/>
            <w:sz w:val="22"/>
            <w:szCs w:val="22"/>
          </w:rPr>
          <w:t>-</w:t>
        </w:r>
        <w:r w:rsidR="007410A1" w:rsidRPr="001A60AB">
          <w:rPr>
            <w:rStyle w:val="a4"/>
            <w:b/>
            <w:sz w:val="22"/>
            <w:szCs w:val="22"/>
            <w:lang w:val="en-US"/>
          </w:rPr>
          <w:t>ast</w:t>
        </w:r>
        <w:r w:rsidR="007410A1" w:rsidRPr="001A60AB">
          <w:rPr>
            <w:rStyle w:val="a4"/>
            <w:b/>
            <w:sz w:val="22"/>
            <w:szCs w:val="22"/>
          </w:rPr>
          <w:t>.</w:t>
        </w:r>
        <w:r w:rsidR="007410A1" w:rsidRPr="001A60AB">
          <w:rPr>
            <w:rStyle w:val="a4"/>
            <w:b/>
            <w:sz w:val="22"/>
            <w:szCs w:val="22"/>
            <w:lang w:val="en-US"/>
          </w:rPr>
          <w:t>ru</w:t>
        </w:r>
        <w:r w:rsidR="007410A1" w:rsidRPr="001A60AB">
          <w:rPr>
            <w:rStyle w:val="a4"/>
            <w:b/>
            <w:sz w:val="22"/>
            <w:szCs w:val="22"/>
          </w:rPr>
          <w:t>/</w:t>
        </w:r>
      </w:hyperlink>
      <w:r w:rsidR="007410A1">
        <w:rPr>
          <w:b/>
          <w:sz w:val="22"/>
          <w:szCs w:val="22"/>
        </w:rPr>
        <w:t xml:space="preserve"> на 31 мая 2023г.</w:t>
      </w:r>
    </w:p>
    <w:p w:rsidR="007410A1" w:rsidRDefault="007410A1" w:rsidP="007410A1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7410A1" w:rsidRDefault="007410A1" w:rsidP="007410A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в электронной форме </w:t>
      </w:r>
      <w:r>
        <w:rPr>
          <w:sz w:val="22"/>
          <w:szCs w:val="22"/>
        </w:rPr>
        <w:t>по продаже в собственность земельного участка</w:t>
      </w:r>
      <w:r w:rsidRPr="000A79F8">
        <w:t xml:space="preserve"> </w:t>
      </w:r>
      <w:r w:rsidRPr="000A79F8">
        <w:rPr>
          <w:sz w:val="22"/>
          <w:szCs w:val="22"/>
        </w:rPr>
        <w:t>на электронной торгово</w:t>
      </w:r>
      <w:r>
        <w:rPr>
          <w:sz w:val="22"/>
          <w:szCs w:val="22"/>
        </w:rPr>
        <w:t xml:space="preserve">й площадке АО «Сбербанк - АСТ», </w:t>
      </w:r>
      <w:r w:rsidRPr="000A79F8">
        <w:rPr>
          <w:sz w:val="22"/>
          <w:szCs w:val="22"/>
        </w:rPr>
        <w:t>http://utp.sberbank-ast.ru/</w:t>
      </w:r>
      <w:r>
        <w:rPr>
          <w:sz w:val="22"/>
          <w:szCs w:val="22"/>
        </w:rPr>
        <w:t xml:space="preserve"> (1 лот):</w:t>
      </w:r>
    </w:p>
    <w:p w:rsidR="007410A1" w:rsidRDefault="007410A1" w:rsidP="007410A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787"/>
        <w:gridCol w:w="1701"/>
        <w:gridCol w:w="1417"/>
        <w:gridCol w:w="1418"/>
        <w:gridCol w:w="1134"/>
        <w:gridCol w:w="1134"/>
        <w:gridCol w:w="1003"/>
      </w:tblGrid>
      <w:tr w:rsidR="007410A1" w:rsidTr="00405245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10A1" w:rsidRDefault="007410A1" w:rsidP="00405245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10A1" w:rsidRDefault="007410A1" w:rsidP="00405245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7410A1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10A1" w:rsidRDefault="007410A1" w:rsidP="00405245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7410A1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10A1" w:rsidRDefault="007410A1" w:rsidP="00405245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7410A1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10A1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10A1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10A1" w:rsidRDefault="007410A1" w:rsidP="00405245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7410A1" w:rsidRDefault="007410A1" w:rsidP="00405245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10A1" w:rsidRDefault="007410A1" w:rsidP="00405245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410A1" w:rsidRDefault="007410A1" w:rsidP="00405245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7410A1" w:rsidTr="00405245">
        <w:trPr>
          <w:trHeight w:val="29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0A1" w:rsidRPr="002B4618" w:rsidRDefault="007410A1" w:rsidP="00405245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2B4618">
              <w:rPr>
                <w:b/>
                <w:sz w:val="16"/>
                <w:szCs w:val="18"/>
                <w:lang w:eastAsia="en-US"/>
              </w:rPr>
              <w:t>из категории земель: «Земли сельскохозяйственного назначения»:</w:t>
            </w:r>
          </w:p>
        </w:tc>
      </w:tr>
      <w:tr w:rsidR="007410A1" w:rsidTr="00405245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0A1" w:rsidRDefault="007410A1" w:rsidP="00405245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0A1" w:rsidRPr="00686F49" w:rsidRDefault="007410A1" w:rsidP="00405245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686F49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р-н. Сосновский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0A1" w:rsidRPr="00686F49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686F49">
              <w:rPr>
                <w:sz w:val="16"/>
                <w:szCs w:val="18"/>
                <w:lang w:eastAsia="en-US"/>
              </w:rPr>
              <w:t>107 654 кв. 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0A1" w:rsidRPr="00686F49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686F49">
              <w:rPr>
                <w:sz w:val="16"/>
                <w:szCs w:val="18"/>
                <w:lang w:eastAsia="en-US"/>
              </w:rPr>
              <w:t>74:19:1501005:74</w:t>
            </w:r>
            <w:r w:rsidRPr="00686F49">
              <w:rPr>
                <w:sz w:val="16"/>
                <w:szCs w:val="18"/>
                <w:lang w:eastAsia="en-US"/>
              </w:rPr>
              <w:br/>
              <w:t>633 005,52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0A1" w:rsidRPr="00686F49" w:rsidRDefault="007410A1" w:rsidP="00405245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410A1" w:rsidRPr="00686F49" w:rsidRDefault="007410A1" w:rsidP="00405245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7410A1" w:rsidRDefault="007410A1" w:rsidP="00405245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686F49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0A1" w:rsidRPr="00686F49" w:rsidRDefault="007410A1" w:rsidP="00405245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686F49">
              <w:rPr>
                <w:sz w:val="16"/>
                <w:szCs w:val="18"/>
                <w:shd w:val="clear" w:color="auto" w:fill="F8F9FA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0A1" w:rsidRDefault="007410A1" w:rsidP="00405245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633 005,52</w:t>
            </w:r>
          </w:p>
          <w:p w:rsidR="007410A1" w:rsidRDefault="007410A1" w:rsidP="00405245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410A1" w:rsidRDefault="007410A1" w:rsidP="00405245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633 005,52</w:t>
            </w:r>
            <w:r w:rsidRPr="005D05E1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806FB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410A1" w:rsidRPr="005D05E1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7410A1" w:rsidRPr="005D05E1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18 990,16</w:t>
            </w:r>
          </w:p>
          <w:p w:rsidR="007410A1" w:rsidRDefault="007410A1" w:rsidP="00405245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D05E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7410A1" w:rsidRDefault="007410A1" w:rsidP="007410A1">
      <w:pPr>
        <w:rPr>
          <w:b/>
          <w:sz w:val="22"/>
          <w:szCs w:val="22"/>
        </w:rPr>
      </w:pPr>
    </w:p>
    <w:p w:rsidR="007410A1" w:rsidRDefault="007410A1" w:rsidP="007410A1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Общие положения</w:t>
      </w:r>
    </w:p>
    <w:p w:rsidR="007410A1" w:rsidRDefault="007410A1" w:rsidP="007410A1">
      <w:pPr>
        <w:widowControl/>
        <w:autoSpaceDE/>
        <w:adjustRightInd/>
        <w:spacing w:line="276" w:lineRule="auto"/>
        <w:ind w:left="142"/>
        <w:contextualSpacing/>
        <w:rPr>
          <w:rFonts w:eastAsiaTheme="minorEastAsia"/>
          <w:b/>
          <w:sz w:val="22"/>
          <w:szCs w:val="22"/>
        </w:rPr>
      </w:pPr>
    </w:p>
    <w:p w:rsidR="007410A1" w:rsidRDefault="007410A1" w:rsidP="007410A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rFonts w:eastAsiaTheme="minorEastAsia"/>
          <w:sz w:val="22"/>
          <w:szCs w:val="22"/>
        </w:rPr>
        <w:t>: Земельный кодекс Российской Федерации от 25.10.2001 №136-ФЗ РФ.</w:t>
      </w:r>
    </w:p>
    <w:p w:rsidR="007410A1" w:rsidRDefault="007410A1" w:rsidP="007410A1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Сведения о правах на земельный участок: </w:t>
      </w:r>
      <w:r>
        <w:rPr>
          <w:rFonts w:eastAsiaTheme="minorEastAsia"/>
          <w:sz w:val="22"/>
          <w:szCs w:val="22"/>
        </w:rPr>
        <w:t>право собственности не разграничено.</w:t>
      </w:r>
    </w:p>
    <w:p w:rsidR="007410A1" w:rsidRDefault="007410A1" w:rsidP="007410A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Организатор торгов</w:t>
      </w:r>
      <w:r>
        <w:rPr>
          <w:rFonts w:eastAsiaTheme="minorEastAsia"/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7410A1" w:rsidRDefault="007410A1" w:rsidP="007410A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Форма торгов и форма подачи предложений о цене</w:t>
      </w:r>
      <w:r>
        <w:rPr>
          <w:rFonts w:eastAsiaTheme="minorEastAsia"/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 w:rsidRPr="00A91B54">
        <w:rPr>
          <w:sz w:val="24"/>
          <w:szCs w:val="24"/>
        </w:rPr>
        <w:t>в электронной форме.</w:t>
      </w:r>
    </w:p>
    <w:p w:rsidR="007410A1" w:rsidRPr="005C6A76" w:rsidRDefault="007410A1" w:rsidP="007410A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rFonts w:eastAsiaTheme="minorEastAsia"/>
          <w:sz w:val="22"/>
          <w:szCs w:val="22"/>
        </w:rPr>
        <w:t>19 апреля 2023 года.</w:t>
      </w:r>
    </w:p>
    <w:p w:rsidR="007410A1" w:rsidRDefault="007410A1" w:rsidP="007410A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Дата окончания приема заявок на участие в аукционе</w:t>
      </w:r>
      <w:r>
        <w:rPr>
          <w:rFonts w:eastAsiaTheme="minorEastAsia"/>
          <w:sz w:val="22"/>
          <w:szCs w:val="22"/>
        </w:rPr>
        <w:t>: 26 мая 2023 года.</w:t>
      </w:r>
    </w:p>
    <w:p w:rsidR="007410A1" w:rsidRDefault="007410A1" w:rsidP="007410A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 w:rsidRPr="000A79F8">
        <w:rPr>
          <w:rFonts w:eastAsiaTheme="minorEastAsia"/>
          <w:sz w:val="22"/>
          <w:szCs w:val="22"/>
        </w:rPr>
        <w:t xml:space="preserve"> 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  <w:r>
        <w:rPr>
          <w:rFonts w:eastAsiaTheme="minorEastAsia"/>
          <w:sz w:val="22"/>
          <w:szCs w:val="22"/>
        </w:rPr>
        <w:t xml:space="preserve"> Дополнительная информация 8(35144)90356.</w:t>
      </w:r>
    </w:p>
    <w:p w:rsidR="007410A1" w:rsidRPr="000A79F8" w:rsidRDefault="007410A1" w:rsidP="007410A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 w:rsidRPr="000A79F8">
        <w:rPr>
          <w:rFonts w:eastAsiaTheme="minorEastAsia"/>
          <w:b/>
          <w:sz w:val="22"/>
          <w:szCs w:val="22"/>
        </w:rPr>
        <w:t xml:space="preserve">Дата, время и место рассмотрения заявок: </w:t>
      </w:r>
      <w:r>
        <w:rPr>
          <w:rFonts w:eastAsiaTheme="minorEastAsia"/>
          <w:sz w:val="22"/>
          <w:szCs w:val="22"/>
        </w:rPr>
        <w:t>29</w:t>
      </w:r>
      <w:r w:rsidRPr="000A79F8">
        <w:rPr>
          <w:rFonts w:eastAsiaTheme="minorEastAsia"/>
          <w:sz w:val="22"/>
          <w:szCs w:val="22"/>
        </w:rPr>
        <w:t xml:space="preserve"> мая 2023 г</w:t>
      </w:r>
      <w:r>
        <w:rPr>
          <w:rFonts w:eastAsiaTheme="minorEastAsia"/>
          <w:sz w:val="22"/>
          <w:szCs w:val="22"/>
        </w:rPr>
        <w:t>ода.</w:t>
      </w:r>
    </w:p>
    <w:p w:rsidR="007410A1" w:rsidRDefault="007410A1" w:rsidP="007410A1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b/>
          <w:sz w:val="22"/>
          <w:szCs w:val="22"/>
        </w:rPr>
        <w:t xml:space="preserve">Дата, время и место проведения аукциона: </w:t>
      </w:r>
      <w:r>
        <w:rPr>
          <w:rFonts w:eastAsiaTheme="minorEastAsia"/>
          <w:sz w:val="22"/>
          <w:szCs w:val="22"/>
        </w:rPr>
        <w:t xml:space="preserve">31 мая 2023 года в 11.30 по местному времени </w:t>
      </w:r>
      <w:r w:rsidRPr="000A79F8">
        <w:rPr>
          <w:rFonts w:eastAsiaTheme="minorEastAsia"/>
          <w:sz w:val="22"/>
          <w:szCs w:val="22"/>
        </w:rPr>
        <w:t>на электронной площадке</w:t>
      </w:r>
      <w:r>
        <w:rPr>
          <w:rFonts w:eastAsiaTheme="minorEastAsia"/>
          <w:sz w:val="22"/>
          <w:szCs w:val="22"/>
        </w:rPr>
        <w:t xml:space="preserve"> </w:t>
      </w:r>
      <w:r w:rsidRPr="000A79F8">
        <w:rPr>
          <w:rFonts w:eastAsiaTheme="minorEastAsia"/>
          <w:sz w:val="22"/>
          <w:szCs w:val="22"/>
        </w:rPr>
        <w:t xml:space="preserve">АО «Сбербанк-АСТ», на сайте: </w:t>
      </w:r>
      <w:hyperlink r:id="rId10" w:history="1"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http</w:t>
        </w:r>
        <w:r w:rsidRPr="000A79F8">
          <w:rPr>
            <w:rStyle w:val="a4"/>
            <w:rFonts w:eastAsiaTheme="minorEastAsia"/>
            <w:sz w:val="22"/>
            <w:szCs w:val="22"/>
          </w:rPr>
          <w:t>://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utp</w:t>
        </w:r>
        <w:r w:rsidRPr="000A79F8">
          <w:rPr>
            <w:rStyle w:val="a4"/>
            <w:rFonts w:eastAsiaTheme="minorEastAsia"/>
            <w:sz w:val="22"/>
            <w:szCs w:val="22"/>
          </w:rPr>
          <w:t>.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sberbank</w:t>
        </w:r>
        <w:r w:rsidRPr="000A79F8">
          <w:rPr>
            <w:rStyle w:val="a4"/>
            <w:rFonts w:eastAsiaTheme="minorEastAsia"/>
            <w:sz w:val="22"/>
            <w:szCs w:val="22"/>
          </w:rPr>
          <w:t>-</w:t>
        </w:r>
        <w:r w:rsidRPr="000A79F8">
          <w:rPr>
            <w:rStyle w:val="a4"/>
            <w:rFonts w:eastAsiaTheme="minorEastAsia"/>
            <w:sz w:val="22"/>
            <w:szCs w:val="22"/>
            <w:lang w:val="en-US"/>
          </w:rPr>
          <w:t>ast</w:t>
        </w:r>
        <w:r w:rsidRPr="000A79F8">
          <w:rPr>
            <w:rStyle w:val="a4"/>
            <w:rFonts w:eastAsiaTheme="minorEastAsia"/>
            <w:sz w:val="22"/>
            <w:szCs w:val="22"/>
          </w:rPr>
          <w:t>.ru</w:t>
        </w:r>
      </w:hyperlink>
      <w:r w:rsidRPr="000A79F8">
        <w:rPr>
          <w:rFonts w:eastAsiaTheme="minorEastAsia"/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:rsidR="007410A1" w:rsidRPr="000A79F8" w:rsidRDefault="007410A1" w:rsidP="0074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0A79F8">
        <w:rPr>
          <w:rFonts w:eastAsiaTheme="minorEastAsia"/>
          <w:sz w:val="22"/>
          <w:szCs w:val="22"/>
        </w:rPr>
        <w:t xml:space="preserve">9. </w:t>
      </w:r>
      <w:r>
        <w:rPr>
          <w:sz w:val="22"/>
          <w:szCs w:val="22"/>
        </w:rPr>
        <w:t xml:space="preserve">Оператор электронной площадки </w:t>
      </w:r>
      <w:r w:rsidRPr="000A79F8">
        <w:rPr>
          <w:color w:val="333333"/>
          <w:sz w:val="22"/>
          <w:szCs w:val="22"/>
        </w:rPr>
        <w:t>А</w:t>
      </w:r>
      <w:r w:rsidRPr="000A79F8">
        <w:rPr>
          <w:sz w:val="22"/>
          <w:szCs w:val="22"/>
        </w:rPr>
        <w:t>кционерное общество «Сбербанк - Автоматизированная система торгов»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Pr="000A79F8">
        <w:rPr>
          <w:color w:val="333333"/>
          <w:sz w:val="22"/>
          <w:szCs w:val="22"/>
        </w:rPr>
        <w:t>(АО «Сбербанк – АСТ»)</w:t>
      </w:r>
      <w:r w:rsidRPr="000A79F8">
        <w:rPr>
          <w:sz w:val="22"/>
          <w:szCs w:val="22"/>
        </w:rPr>
        <w:t xml:space="preserve"> </w:t>
      </w:r>
      <w:r w:rsidRPr="000A79F8">
        <w:rPr>
          <w:sz w:val="22"/>
          <w:szCs w:val="22"/>
          <w:lang w:val="en-US"/>
        </w:rPr>
        <w:t>htth</w:t>
      </w:r>
      <w:r w:rsidRPr="000A79F8">
        <w:rPr>
          <w:sz w:val="22"/>
          <w:szCs w:val="22"/>
        </w:rPr>
        <w:t>://</w:t>
      </w:r>
      <w:hyperlink r:id="rId11" w:history="1">
        <w:r w:rsidRPr="000A79F8">
          <w:rPr>
            <w:color w:val="0000FF"/>
            <w:sz w:val="22"/>
            <w:szCs w:val="22"/>
            <w:u w:val="single"/>
          </w:rPr>
          <w:t>www.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0A79F8">
          <w:rPr>
            <w:color w:val="0000FF"/>
            <w:sz w:val="22"/>
            <w:szCs w:val="22"/>
            <w:u w:val="single"/>
          </w:rPr>
          <w:t>-</w:t>
        </w:r>
        <w:r w:rsidRPr="000A79F8">
          <w:rPr>
            <w:color w:val="0000FF"/>
            <w:sz w:val="22"/>
            <w:szCs w:val="22"/>
            <w:u w:val="single"/>
            <w:lang w:val="en-US"/>
          </w:rPr>
          <w:t>ast</w:t>
        </w:r>
        <w:r w:rsidRPr="000A79F8">
          <w:rPr>
            <w:color w:val="0000FF"/>
            <w:sz w:val="22"/>
            <w:szCs w:val="22"/>
            <w:u w:val="single"/>
          </w:rPr>
          <w:t>.ru/</w:t>
        </w:r>
      </w:hyperlink>
      <w:r w:rsidRPr="000A79F8">
        <w:rPr>
          <w:sz w:val="22"/>
          <w:szCs w:val="22"/>
        </w:rPr>
        <w:t xml:space="preserve"> в информационно - телекоммуникационной сети «Интернет» (Оператор).</w:t>
      </w:r>
    </w:p>
    <w:p w:rsidR="007410A1" w:rsidRPr="000A79F8" w:rsidRDefault="007410A1" w:rsidP="007410A1">
      <w:pPr>
        <w:autoSpaceDE/>
        <w:autoSpaceDN/>
        <w:adjustRightInd/>
        <w:ind w:firstLine="708"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Юридический адрес:</w:t>
      </w:r>
      <w:r w:rsidRPr="000A79F8">
        <w:rPr>
          <w:sz w:val="22"/>
          <w:szCs w:val="22"/>
        </w:rPr>
        <w:t xml:space="preserve"> 119435, г. Москва, Большой Саввинский пер., д. 12</w:t>
      </w:r>
      <w:r>
        <w:rPr>
          <w:sz w:val="22"/>
          <w:szCs w:val="22"/>
        </w:rPr>
        <w:t xml:space="preserve">, стр. 9, эт. 1, пом.1, комн. </w:t>
      </w:r>
    </w:p>
    <w:p w:rsidR="007410A1" w:rsidRPr="000A79F8" w:rsidRDefault="007410A1" w:rsidP="007410A1">
      <w:pPr>
        <w:autoSpaceDE/>
        <w:autoSpaceDN/>
        <w:adjustRightInd/>
        <w:contextualSpacing/>
        <w:jc w:val="both"/>
        <w:rPr>
          <w:sz w:val="22"/>
          <w:szCs w:val="22"/>
        </w:rPr>
      </w:pPr>
      <w:r w:rsidRPr="000A79F8">
        <w:rPr>
          <w:b/>
          <w:bCs/>
          <w:sz w:val="22"/>
          <w:szCs w:val="22"/>
        </w:rPr>
        <w:t>Почтовый адрес:</w:t>
      </w:r>
      <w:r w:rsidRPr="000A79F8">
        <w:rPr>
          <w:sz w:val="22"/>
          <w:szCs w:val="22"/>
        </w:rPr>
        <w:t xml:space="preserve"> 119435, г. Москва, Большой Саввинский переулок, дом 12, стр. 9. Телефон 8 (495) 787-29-97, 787-29-99. </w:t>
      </w:r>
    </w:p>
    <w:p w:rsidR="007410A1" w:rsidRPr="005F6D87" w:rsidRDefault="007410A1" w:rsidP="007410A1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Средства платежа:</w:t>
      </w:r>
      <w:r w:rsidRPr="005F6D87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7410A1" w:rsidRDefault="007410A1" w:rsidP="007410A1">
      <w:pPr>
        <w:pStyle w:val="a6"/>
        <w:numPr>
          <w:ilvl w:val="0"/>
          <w:numId w:val="44"/>
        </w:numPr>
        <w:tabs>
          <w:tab w:val="left" w:pos="851"/>
        </w:tabs>
        <w:ind w:left="284" w:right="-97" w:hanging="284"/>
        <w:jc w:val="both"/>
        <w:rPr>
          <w:rFonts w:ascii="Times New Roman" w:hAnsi="Times New Roman" w:cs="Times New Roman"/>
        </w:rPr>
      </w:pPr>
      <w:r w:rsidRPr="005F6D87">
        <w:rPr>
          <w:rFonts w:ascii="Times New Roman" w:hAnsi="Times New Roman" w:cs="Times New Roman"/>
          <w:b/>
        </w:rPr>
        <w:t>Порядок осмотра земельного участка:</w:t>
      </w:r>
      <w:r w:rsidRPr="005F6D87">
        <w:rPr>
          <w:rFonts w:ascii="Times New Roman" w:hAnsi="Times New Roman" w:cs="Times New Roman"/>
        </w:rPr>
        <w:t xml:space="preserve"> осмотр земельного уч</w:t>
      </w:r>
      <w:r>
        <w:rPr>
          <w:rFonts w:ascii="Times New Roman" w:hAnsi="Times New Roman" w:cs="Times New Roman"/>
        </w:rPr>
        <w:t>астка производится заявителем са</w:t>
      </w:r>
      <w:r w:rsidRPr="005F6D87">
        <w:rPr>
          <w:rFonts w:ascii="Times New Roman" w:hAnsi="Times New Roman" w:cs="Times New Roman"/>
        </w:rPr>
        <w:t>мостоятельно.</w:t>
      </w:r>
      <w:r>
        <w:rPr>
          <w:rFonts w:ascii="Times New Roman" w:hAnsi="Times New Roman" w:cs="Times New Roman"/>
        </w:rPr>
        <w:t xml:space="preserve"> </w:t>
      </w:r>
    </w:p>
    <w:p w:rsidR="003F7A66" w:rsidRPr="002B4618" w:rsidRDefault="003F7A66" w:rsidP="003F7A66">
      <w:pPr>
        <w:pStyle w:val="a6"/>
        <w:tabs>
          <w:tab w:val="left" w:pos="851"/>
        </w:tabs>
        <w:ind w:left="284" w:right="-97"/>
        <w:jc w:val="both"/>
        <w:rPr>
          <w:rFonts w:ascii="Times New Roman" w:hAnsi="Times New Roman" w:cs="Times New Roman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7410A1" w:rsidRPr="00477304" w:rsidRDefault="007410A1" w:rsidP="007410A1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</w:p>
    <w:p w:rsidR="007410A1" w:rsidRPr="00477304" w:rsidRDefault="007410A1" w:rsidP="007410A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Основание проведения аукциона: </w:t>
      </w:r>
      <w:r w:rsidRPr="00477304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20.02.2023г. </w:t>
      </w:r>
      <w:r w:rsidRPr="00477304">
        <w:rPr>
          <w:sz w:val="22"/>
          <w:szCs w:val="22"/>
        </w:rPr>
        <w:t xml:space="preserve">№ </w:t>
      </w:r>
      <w:r>
        <w:rPr>
          <w:sz w:val="22"/>
          <w:szCs w:val="22"/>
        </w:rPr>
        <w:t>24</w:t>
      </w:r>
      <w:r w:rsidRPr="00477304">
        <w:rPr>
          <w:sz w:val="22"/>
          <w:szCs w:val="22"/>
        </w:rPr>
        <w:t>/ЗО «О продаже</w:t>
      </w:r>
      <w:r>
        <w:rPr>
          <w:sz w:val="22"/>
          <w:szCs w:val="22"/>
        </w:rPr>
        <w:t xml:space="preserve"> в собственность</w:t>
      </w:r>
      <w:r w:rsidRPr="00477304">
        <w:rPr>
          <w:sz w:val="22"/>
          <w:szCs w:val="22"/>
        </w:rPr>
        <w:t xml:space="preserve"> на аукционе земельного участка площадью</w:t>
      </w:r>
      <w:r>
        <w:rPr>
          <w:sz w:val="22"/>
          <w:szCs w:val="22"/>
        </w:rPr>
        <w:t xml:space="preserve"> 107 654</w:t>
      </w:r>
      <w:r w:rsidRPr="00477304">
        <w:rPr>
          <w:sz w:val="22"/>
          <w:szCs w:val="22"/>
        </w:rPr>
        <w:t xml:space="preserve"> кв.м., расположенного по адресу </w:t>
      </w:r>
      <w:r w:rsidRPr="00303A90">
        <w:rPr>
          <w:sz w:val="22"/>
          <w:szCs w:val="22"/>
        </w:rPr>
        <w:t>Челябинская область, р-н. Сосновский</w:t>
      </w:r>
      <w:r w:rsidRPr="00477304">
        <w:rPr>
          <w:sz w:val="22"/>
          <w:szCs w:val="22"/>
        </w:rPr>
        <w:t xml:space="preserve">, </w:t>
      </w:r>
      <w:r w:rsidRPr="00303A90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>.</w:t>
      </w:r>
    </w:p>
    <w:p w:rsidR="007410A1" w:rsidRDefault="007410A1" w:rsidP="007410A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Предмет аукциона: </w:t>
      </w:r>
      <w:r w:rsidRPr="00477304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 xml:space="preserve">107 654 </w:t>
      </w:r>
      <w:r w:rsidRPr="00477304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1501005:74</w:t>
      </w:r>
      <w:r w:rsidRPr="00477304">
        <w:rPr>
          <w:sz w:val="22"/>
          <w:szCs w:val="22"/>
        </w:rPr>
        <w:t xml:space="preserve">, расположенный по адресу: </w:t>
      </w:r>
      <w:r w:rsidRPr="00B00BB4">
        <w:rPr>
          <w:sz w:val="22"/>
          <w:szCs w:val="22"/>
        </w:rPr>
        <w:t xml:space="preserve">Челябинская область, р-н Сосновский, </w:t>
      </w:r>
      <w:r w:rsidRPr="00477304">
        <w:rPr>
          <w:sz w:val="22"/>
          <w:szCs w:val="22"/>
        </w:rPr>
        <w:t>(далее – земельный участок).</w:t>
      </w:r>
    </w:p>
    <w:p w:rsidR="007410A1" w:rsidRPr="00477304" w:rsidRDefault="007410A1" w:rsidP="007410A1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1B1B09">
        <w:rPr>
          <w:b/>
          <w:sz w:val="22"/>
          <w:szCs w:val="22"/>
        </w:rPr>
        <w:t>Категория земель: «</w:t>
      </w:r>
      <w:r w:rsidRPr="001B1B09">
        <w:rPr>
          <w:sz w:val="22"/>
          <w:szCs w:val="22"/>
        </w:rPr>
        <w:t>земли сельскохозяйственного назначения».</w:t>
      </w:r>
    </w:p>
    <w:p w:rsidR="007410A1" w:rsidRDefault="007410A1" w:rsidP="007410A1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>Вид разрешенного использования земельного участка:</w:t>
      </w:r>
      <w:r w:rsidRPr="00477304">
        <w:rPr>
          <w:sz w:val="22"/>
          <w:szCs w:val="22"/>
        </w:rPr>
        <w:t xml:space="preserve"> </w:t>
      </w:r>
      <w:r w:rsidRPr="00303A90">
        <w:rPr>
          <w:sz w:val="22"/>
          <w:szCs w:val="22"/>
        </w:rPr>
        <w:t xml:space="preserve">для сельскохозяйственного </w:t>
      </w:r>
      <w:r w:rsidRPr="00303A90">
        <w:rPr>
          <w:sz w:val="22"/>
          <w:szCs w:val="22"/>
        </w:rPr>
        <w:lastRenderedPageBreak/>
        <w:t>использования</w:t>
      </w:r>
      <w:r>
        <w:rPr>
          <w:sz w:val="22"/>
          <w:szCs w:val="22"/>
        </w:rPr>
        <w:t>.</w:t>
      </w:r>
    </w:p>
    <w:p w:rsidR="007410A1" w:rsidRPr="00B00BB4" w:rsidRDefault="007410A1" w:rsidP="007410A1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 xml:space="preserve">Границы земельного участка определены, сведения о кадастровом учете земельного участка указаны в публичной кадастровой карте на интернет-сайте </w:t>
      </w:r>
      <w:hyperlink r:id="rId12" w:history="1">
        <w:r w:rsidRPr="00871239">
          <w:rPr>
            <w:rStyle w:val="a4"/>
            <w:sz w:val="22"/>
            <w:szCs w:val="22"/>
            <w:lang w:val="en-US"/>
          </w:rPr>
          <w:t>https</w:t>
        </w:r>
        <w:r w:rsidRPr="00871239">
          <w:rPr>
            <w:rStyle w:val="a4"/>
            <w:sz w:val="22"/>
            <w:szCs w:val="22"/>
          </w:rPr>
          <w:t>://</w:t>
        </w:r>
        <w:r w:rsidRPr="00871239">
          <w:rPr>
            <w:rStyle w:val="a4"/>
            <w:sz w:val="22"/>
            <w:szCs w:val="22"/>
            <w:lang w:val="en-US"/>
          </w:rPr>
          <w:t>pkk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rosreestr</w:t>
        </w:r>
        <w:r w:rsidRPr="00871239">
          <w:rPr>
            <w:rStyle w:val="a4"/>
            <w:sz w:val="22"/>
            <w:szCs w:val="22"/>
          </w:rPr>
          <w:t>.</w:t>
        </w:r>
        <w:r w:rsidRPr="00871239">
          <w:rPr>
            <w:rStyle w:val="a4"/>
            <w:sz w:val="22"/>
            <w:szCs w:val="22"/>
            <w:lang w:val="en-US"/>
          </w:rPr>
          <w:t>ru</w:t>
        </w:r>
      </w:hyperlink>
    </w:p>
    <w:p w:rsidR="007410A1" w:rsidRPr="00477304" w:rsidRDefault="007410A1" w:rsidP="007410A1">
      <w:pPr>
        <w:tabs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sz w:val="22"/>
          <w:szCs w:val="22"/>
        </w:rPr>
        <w:t>Земельный участок неделим, свободен от застройки.</w:t>
      </w:r>
    </w:p>
    <w:p w:rsidR="007410A1" w:rsidRPr="00303A90" w:rsidRDefault="007410A1" w:rsidP="007410A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477304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303A90">
        <w:rPr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</w:p>
    <w:p w:rsidR="007410A1" w:rsidRDefault="007410A1" w:rsidP="007410A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03A90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134DF7" w:rsidRPr="00134DF7" w:rsidRDefault="00134DF7" w:rsidP="00134DF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</w:rPr>
      </w:pPr>
      <w:r w:rsidRPr="00134DF7">
        <w:rPr>
          <w:b/>
          <w:sz w:val="22"/>
        </w:rPr>
        <w:t>Охранная зона части объекта: "Цифровая система связи Москва-Хабаровск" общей протяженностью 7979 км (ВОЛС К708 Тимирязевский-Кременкуль на участке М9- Кременкуль, Челябинская область, Сосновский район, инвентарный номер 2270599, протяженностью 26,5 км)</w:t>
      </w:r>
      <w:r w:rsidRPr="00134DF7">
        <w:rPr>
          <w:b/>
          <w:sz w:val="22"/>
        </w:rPr>
        <w:t>.</w:t>
      </w:r>
    </w:p>
    <w:p w:rsidR="00134DF7" w:rsidRDefault="00134DF7" w:rsidP="00134DF7">
      <w:pPr>
        <w:tabs>
          <w:tab w:val="left" w:pos="0"/>
          <w:tab w:val="left" w:pos="9923"/>
        </w:tabs>
        <w:ind w:right="-97" w:firstLine="709"/>
        <w:jc w:val="both"/>
        <w:rPr>
          <w:sz w:val="22"/>
        </w:rPr>
      </w:pPr>
      <w:r w:rsidRPr="00134DF7">
        <w:rPr>
          <w:sz w:val="22"/>
        </w:rPr>
        <w:t>Ограничения установлены Постановлением Правительства РФ от 09.06.1995 г. №578 48. 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 а)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 б) 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 в)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 г)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 д)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 е)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 ж) производить защиту подземных коммуникаций от коррозии без учета проходящих подземных кабельных линий связи. 49.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 а)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 и сооружения; б)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 в)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 г) огораживать трассы линий связи, препятствуя свободному доступу к ним технического персонала; д) самовольно подключаться к абонентской телефонной линии и линии радиофикации в целях пользования услугами связи; е)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134DF7" w:rsidRDefault="00134DF7" w:rsidP="00134DF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</w:rPr>
      </w:pPr>
      <w:r w:rsidRPr="00134DF7">
        <w:rPr>
          <w:b/>
          <w:sz w:val="22"/>
        </w:rPr>
        <w:t>Охранная зона сооружения - воздушная линия 10кВ № 3 подстанции Кременкуль,литера 12Л1., инв.030631301684</w:t>
      </w:r>
    </w:p>
    <w:p w:rsidR="00134DF7" w:rsidRDefault="00134DF7" w:rsidP="00134DF7">
      <w:pPr>
        <w:tabs>
          <w:tab w:val="left" w:pos="0"/>
          <w:tab w:val="left" w:pos="9923"/>
        </w:tabs>
        <w:ind w:right="-97" w:firstLine="709"/>
        <w:jc w:val="both"/>
        <w:rPr>
          <w:sz w:val="22"/>
        </w:rPr>
      </w:pPr>
      <w:r w:rsidRPr="00134DF7">
        <w:rPr>
          <w:sz w:val="22"/>
        </w:rPr>
        <w:t xml:space="preserve">Ограничения установлены пунктами 8, 9, 10 Правил установления охр. зон объектов электросетевого хоз-ва и особых условий использования земельных участков, расположенных в границах таких зон, </w:t>
      </w:r>
      <w:r w:rsidRPr="00134DF7">
        <w:rPr>
          <w:sz w:val="22"/>
        </w:rPr>
        <w:lastRenderedPageBreak/>
        <w:t>утвержденных Постановлением Правительства РФ №160 от 24.02.2009 г. В охр. зонах запрещается осуществлять любые действия, которые могут нарушить безопасную работу объектов электросетевого хоз-ва, в т.ч. привести к их повреждению или уничтожению, и (или) повлечь причинение вреда жизни, здоровью граждан и имуществу физ. или юр. лиц, а также повлечь нанесение экологического ущерба и возникновение пожаров, в т.ч.: а) набрасывать на провода и опоры ВЛ электропередачи посторонние предметы, а также подниматься на опоры ВЛ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хоз-ва, а также проводить любые работы и возводить сооружения, которые могут препятствовать доступу к объектам электросетевого хоз-ва, без создания необходимых для такого доступа проходов и подъездов; в) находиться в пределах огороженной территории и помещениях РУ и ПС, открывать двери и люки РУ и ПС,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охр. зон вводных и РУ, ПС, ВЛ электропередачи, а также в охр. зонах КЛ электропередачи; г) размещать свалки; д) производить работы ударными механизмами, сбрасывать тяжести массой свыше 5 т, производить сброс и слив едких и коррозионных веществ и ГСМ (в охр. зонах подземных КЛ электропередачи). В охр. зонах, установленных для объектов электросетевого хоз-ва напряжением свыше 1000 вольт, помимо действий, предусмотренных п. 8 Правил, запрещается: а) складировать или размещать хранилища любых материалов, в т.ч. ГСМ; б) размещать детские и спорт.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физ. лицам, проводить любые мероприятия, связанные с большим скоплением людей, не занятых выполнением разрешенных в установленном порядке работ (в охр. зонах ВЛ электропередачи); в) использовать (запускать) любые летательные аппараты, в т.ч. воздушных змеев, спорт. модели летательных аппаратов (в охр. зонах ВЛ электропередачи); г) бросать якоря с судов и осуществлять их проход с отданными якорями, цепями, лотами, волокушами и тралами (в охр. зонах подводных КЛ электропередачи); д) осуществлять проход судов с поднятыми стрелами кранов и др. механизмов (в охр. зонах ВЛ электропередачи). В пределах охр. зон без письменного решения о согласовании сетевых организаций юр. и физ. лицам запрещаются: а) строительство, кап. ремонт, реконструкция или снос зданий и сооружений; б) горные, взрывные, мелиоративные работы, в т.ч.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др. водных животных и растений придонными орудиями лова, устройство водопоев, колка и заготовка льда (в охр. зонах подводных КЛ электропередачи); д) проход судов, у которых расстояние по вертикали от верхнего крайнего габарита с грузом или без груза до нижней точки провеса проводов переходов ВЛ электропередачи через водоемы менее миним. допустимого расстояния, в т.ч. с учетом максим. уровня подъема воды при паводке; е) проезд машин и механизмов, имеющих общую высоту с грузом или без груза от поверхности дороги более 4,5 м (в охр. зонах ВЛ электропередачи); ж) земляные работы на глубине более 0,3 м (на вспахиваемых землях на глубине более 0,45 м), а также планировка грунта (в охр. зонах подземных КЛ электропередачи); и т.д.</w:t>
      </w:r>
    </w:p>
    <w:p w:rsidR="00134DF7" w:rsidRPr="00134DF7" w:rsidRDefault="00134DF7" w:rsidP="00134DF7">
      <w:pPr>
        <w:tabs>
          <w:tab w:val="left" w:pos="0"/>
          <w:tab w:val="left" w:pos="9923"/>
        </w:tabs>
        <w:ind w:right="-97" w:firstLine="709"/>
        <w:jc w:val="both"/>
        <w:rPr>
          <w:b/>
          <w:sz w:val="36"/>
          <w:szCs w:val="22"/>
        </w:rPr>
      </w:pPr>
    </w:p>
    <w:p w:rsidR="007410A1" w:rsidRPr="00303A90" w:rsidRDefault="007410A1" w:rsidP="007410A1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3A90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A861C4">
        <w:rPr>
          <w:rFonts w:ascii="Times New Roman" w:hAnsi="Times New Roman" w:cs="Times New Roman"/>
          <w:sz w:val="22"/>
          <w:szCs w:val="22"/>
        </w:rPr>
        <w:t>633 005 (шестьсот тридцать три тысячи пять) рублей 52 копеек, что составляет 100% от кадастровой стоимости земельного участка;</w:t>
      </w:r>
    </w:p>
    <w:p w:rsidR="007410A1" w:rsidRPr="00303A90" w:rsidRDefault="007410A1" w:rsidP="007410A1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3A90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A861C4">
        <w:rPr>
          <w:rFonts w:ascii="Times New Roman" w:hAnsi="Times New Roman" w:cs="Times New Roman"/>
          <w:sz w:val="22"/>
          <w:szCs w:val="22"/>
        </w:rPr>
        <w:t>18 990 (восемнадцать тысяч девятисот девяносто) рублей 16 копеек, установлен в пределах 3% начальной цены лота;</w:t>
      </w:r>
    </w:p>
    <w:p w:rsidR="007410A1" w:rsidRDefault="007410A1" w:rsidP="007410A1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3A90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A861C4">
        <w:rPr>
          <w:rFonts w:ascii="Times New Roman" w:hAnsi="Times New Roman" w:cs="Times New Roman"/>
          <w:sz w:val="22"/>
          <w:szCs w:val="22"/>
        </w:rPr>
        <w:t>633 005 (шестьсот тридцать три тысячи пять) рублей 52 копеек, что составляет 100% от начальной цены лота.</w:t>
      </w:r>
    </w:p>
    <w:p w:rsidR="007410A1" w:rsidRPr="00C1044C" w:rsidRDefault="007410A1" w:rsidP="007410A1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торгов). </w:t>
      </w:r>
    </w:p>
    <w:p w:rsidR="007410A1" w:rsidRPr="00C1044C" w:rsidRDefault="007410A1" w:rsidP="007410A1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7410A1" w:rsidRPr="00C1044C" w:rsidRDefault="007410A1" w:rsidP="007410A1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303A90">
        <w:rPr>
          <w:sz w:val="22"/>
          <w:szCs w:val="22"/>
        </w:rPr>
        <w:t>для сельскохозяйственного использования</w:t>
      </w:r>
      <w:r>
        <w:rPr>
          <w:sz w:val="22"/>
          <w:szCs w:val="22"/>
        </w:rPr>
        <w:t>.</w:t>
      </w:r>
    </w:p>
    <w:p w:rsidR="007410A1" w:rsidRPr="00C1044C" w:rsidRDefault="007410A1" w:rsidP="007410A1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7410A1" w:rsidRDefault="007410A1" w:rsidP="007410A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50776B" w:rsidRDefault="0050776B" w:rsidP="0050776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A55C97" w:rsidRDefault="00A55C97" w:rsidP="009671DB">
      <w:pPr>
        <w:jc w:val="both"/>
        <w:rPr>
          <w:sz w:val="22"/>
          <w:szCs w:val="22"/>
        </w:rPr>
      </w:pPr>
    </w:p>
    <w:p w:rsidR="00134DF7" w:rsidRDefault="00134DF7" w:rsidP="009671DB">
      <w:pPr>
        <w:jc w:val="both"/>
        <w:rPr>
          <w:sz w:val="22"/>
          <w:szCs w:val="22"/>
        </w:rPr>
      </w:pPr>
    </w:p>
    <w:p w:rsidR="00134DF7" w:rsidRDefault="00134DF7" w:rsidP="009671DB">
      <w:pPr>
        <w:jc w:val="both"/>
        <w:rPr>
          <w:sz w:val="22"/>
          <w:szCs w:val="22"/>
        </w:rPr>
      </w:pPr>
    </w:p>
    <w:p w:rsidR="00134DF7" w:rsidRPr="00F8783D" w:rsidRDefault="00134DF7" w:rsidP="009671DB">
      <w:pPr>
        <w:jc w:val="both"/>
        <w:rPr>
          <w:sz w:val="22"/>
          <w:szCs w:val="22"/>
        </w:rPr>
      </w:pPr>
      <w:bookmarkStart w:id="0" w:name="_GoBack"/>
      <w:bookmarkEnd w:id="0"/>
    </w:p>
    <w:p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lastRenderedPageBreak/>
        <w:t xml:space="preserve">Порядок регистрации на электронной площадке </w:t>
      </w:r>
    </w:p>
    <w:p w:rsidR="007410A1" w:rsidRPr="00F8783D" w:rsidRDefault="0089542D" w:rsidP="007410A1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АО «Сбербанк - АСТ».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- АСТ» </w:t>
      </w:r>
      <w:r w:rsidRPr="00F8783D">
        <w:rPr>
          <w:rFonts w:eastAsiaTheme="minorEastAsia"/>
          <w:sz w:val="22"/>
          <w:szCs w:val="22"/>
          <w:lang w:val="en-US"/>
        </w:rPr>
        <w:t>utp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получения регистрации пользователь заполняет соответствующую форму заявления на регистрацию и предоставляет требуемые документы и информацию.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После заполнения форм их необходимо подписать электронной подписью.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 - АСТ» </w:t>
      </w:r>
      <w:hyperlink r:id="rId13" w:history="1">
        <w:r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http://utp.sberbank-ast.ru/AP/Notice/652/Instructions</w:t>
        </w:r>
      </w:hyperlink>
      <w:r w:rsidRPr="00F8783D">
        <w:rPr>
          <w:rFonts w:eastAsiaTheme="minorEastAsia"/>
          <w:sz w:val="22"/>
          <w:szCs w:val="22"/>
        </w:rPr>
        <w:t xml:space="preserve"> и в торговой секции «Приватизация, аренда и продажа прав»).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копии документов, удостоверяющих личность заявителя (для граждан);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4) документы, подтверждающие внесение задатка.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 случае отзыва претендентом заявки уведомление об отзыве заявки вместе с заявкой в течение </w:t>
      </w:r>
      <w:r w:rsidRPr="00F8783D">
        <w:rPr>
          <w:sz w:val="22"/>
          <w:szCs w:val="22"/>
        </w:rPr>
        <w:lastRenderedPageBreak/>
        <w:t>одного часа поступает в «личный кабинет» Продавца, о чем претенденту направляется соответствующее уведомление.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5. Сведения о заявителях</w:t>
      </w:r>
    </w:p>
    <w:p w:rsidR="0089542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7410A1" w:rsidRPr="00F8783D" w:rsidRDefault="007410A1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740BA2">
        <w:rPr>
          <w:rFonts w:eastAsiaTheme="minorEastAsia"/>
          <w:b/>
          <w:sz w:val="22"/>
          <w:szCs w:val="22"/>
        </w:rPr>
        <w:t>12.05.</w:t>
      </w:r>
      <w:r w:rsidR="00F8783D">
        <w:rPr>
          <w:rFonts w:eastAsiaTheme="minorEastAsia"/>
          <w:b/>
          <w:sz w:val="22"/>
          <w:szCs w:val="22"/>
        </w:rPr>
        <w:t>2023г.</w:t>
      </w:r>
    </w:p>
    <w:p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9542D" w:rsidRPr="00624C48" w:rsidTr="0089542D">
        <w:trPr>
          <w:trHeight w:val="358"/>
        </w:trPr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F8783D">
        <w:rPr>
          <w:rFonts w:eastAsiaTheme="minorHAnsi"/>
          <w:b/>
          <w:bCs/>
          <w:sz w:val="22"/>
          <w:szCs w:val="22"/>
          <w:lang w:eastAsia="en-US"/>
        </w:rPr>
        <w:t>7. Порядок возврата задатка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 xml:space="preserve">8. Определение участников аукциона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F8783D">
        <w:rPr>
          <w:rFonts w:eastAsiaTheme="minorEastAsia"/>
          <w:sz w:val="22"/>
          <w:szCs w:val="22"/>
          <w:lang w:val="en-US"/>
        </w:rPr>
        <w:t>http</w:t>
      </w:r>
      <w:r w:rsidRPr="00F8783D">
        <w:rPr>
          <w:rFonts w:eastAsiaTheme="minorEastAsia"/>
          <w:sz w:val="22"/>
          <w:szCs w:val="22"/>
        </w:rPr>
        <w:t>://</w:t>
      </w:r>
      <w:r w:rsidRPr="00F8783D">
        <w:rPr>
          <w:rFonts w:eastAsiaTheme="minorEastAsia"/>
          <w:sz w:val="22"/>
          <w:szCs w:val="22"/>
          <w:lang w:val="en-US"/>
        </w:rPr>
        <w:t>www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 xml:space="preserve"> , на официальном сайте Российской Федерации для размещения информации о проведении торгов - https://torgi.gov.ru/new/public и на официальном </w:t>
      </w:r>
      <w:r w:rsidR="00EC6081">
        <w:rPr>
          <w:rFonts w:eastAsiaTheme="minorEastAsia"/>
          <w:sz w:val="22"/>
          <w:szCs w:val="22"/>
        </w:rPr>
        <w:t>интернет – портале правовой информации Сосновско</w:t>
      </w:r>
      <w:r w:rsidR="00624C48">
        <w:rPr>
          <w:rFonts w:eastAsiaTheme="minorEastAsia"/>
          <w:sz w:val="22"/>
          <w:szCs w:val="22"/>
        </w:rPr>
        <w:t>г</w:t>
      </w:r>
      <w:r w:rsidR="00EC6081">
        <w:rPr>
          <w:rFonts w:eastAsiaTheme="minorEastAsia"/>
          <w:sz w:val="22"/>
          <w:szCs w:val="22"/>
        </w:rPr>
        <w:t xml:space="preserve">о муниципального района </w:t>
      </w:r>
      <w:r w:rsidR="00EC6081" w:rsidRPr="00EC6081">
        <w:rPr>
          <w:rFonts w:eastAsiaTheme="minorEastAsia"/>
          <w:sz w:val="22"/>
          <w:szCs w:val="22"/>
        </w:rPr>
        <w:t>https://сосновский74.рф/</w:t>
      </w:r>
      <w:r w:rsidR="00EC6081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АО «Сбербанк - АСТ»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земельного участка, начальной цены и текущего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 xml:space="preserve"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</w:t>
      </w:r>
      <w:r w:rsidRPr="00F8783D">
        <w:rPr>
          <w:sz w:val="22"/>
          <w:szCs w:val="22"/>
        </w:rPr>
        <w:lastRenderedPageBreak/>
        <w:t>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12. Заключение договора купли-продажи по итогам проведения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9542D" w:rsidRPr="00F8783D" w:rsidRDefault="0089542D" w:rsidP="009230BA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>официальном интернет – портале правовой информации Сосновско</w:t>
      </w:r>
      <w:r w:rsidR="00624C48">
        <w:rPr>
          <w:sz w:val="22"/>
          <w:szCs w:val="22"/>
        </w:rPr>
        <w:t>г</w:t>
      </w:r>
      <w:r w:rsidR="009230BA" w:rsidRPr="009230BA">
        <w:rPr>
          <w:sz w:val="22"/>
          <w:szCs w:val="22"/>
        </w:rPr>
        <w:t xml:space="preserve">о муниципального района </w:t>
      </w:r>
      <w:hyperlink r:id="rId14" w:history="1">
        <w:r w:rsidR="009230BA" w:rsidRPr="00794AD0">
          <w:rPr>
            <w:rStyle w:val="a4"/>
            <w:sz w:val="22"/>
            <w:szCs w:val="22"/>
          </w:rPr>
          <w:t>https://сосновский74.рф/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15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hyperlink r:id="rId16" w:history="1">
        <w:r w:rsidRPr="00F8783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8783D">
          <w:rPr>
            <w:color w:val="0000FF"/>
            <w:sz w:val="22"/>
            <w:szCs w:val="22"/>
            <w:u w:val="single"/>
          </w:rPr>
          <w:t>://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utp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F8783D">
          <w:rPr>
            <w:color w:val="0000FF"/>
            <w:sz w:val="22"/>
            <w:szCs w:val="22"/>
            <w:u w:val="single"/>
          </w:rPr>
          <w:t>-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ast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230BA">
        <w:rPr>
          <w:sz w:val="22"/>
          <w:szCs w:val="22"/>
        </w:rPr>
        <w:t>9-03-56.</w:t>
      </w:r>
    </w:p>
    <w:p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F8783D" w:rsidRDefault="004247B5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hyperlink r:id="rId17" w:history="1">
        <w:r w:rsidR="0089542D"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</w:t>
        </w:r>
      </w:hyperlink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9230BA" w:rsidRPr="00F607AE" w:rsidRDefault="009230BA" w:rsidP="009230BA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9542D" w:rsidRPr="00F8783D" w:rsidTr="0089542D">
        <w:trPr>
          <w:trHeight w:val="820"/>
        </w:trPr>
        <w:tc>
          <w:tcPr>
            <w:tcW w:w="10031" w:type="dxa"/>
          </w:tcPr>
          <w:p w:rsidR="0089542D" w:rsidRPr="00F8783D" w:rsidRDefault="0089542D" w:rsidP="0089542D">
            <w:pPr>
              <w:widowControl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F8783D">
              <w:rPr>
                <w:sz w:val="22"/>
                <w:szCs w:val="22"/>
              </w:rPr>
              <w:lastRenderedPageBreak/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5. Иные документы,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B5" w:rsidRDefault="004247B5" w:rsidP="00F47A56">
      <w:r>
        <w:separator/>
      </w:r>
    </w:p>
  </w:endnote>
  <w:endnote w:type="continuationSeparator" w:id="0">
    <w:p w:rsidR="004247B5" w:rsidRDefault="004247B5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B5" w:rsidRDefault="004247B5" w:rsidP="00F47A56">
      <w:r>
        <w:separator/>
      </w:r>
    </w:p>
  </w:footnote>
  <w:footnote w:type="continuationSeparator" w:id="0">
    <w:p w:rsidR="004247B5" w:rsidRDefault="004247B5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FD8D568"/>
    <w:lvl w:ilvl="0" w:tplc="A27E351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3DA2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2271"/>
    <w:rsid w:val="000F2678"/>
    <w:rsid w:val="000F3122"/>
    <w:rsid w:val="000F3C01"/>
    <w:rsid w:val="000F630F"/>
    <w:rsid w:val="000F763E"/>
    <w:rsid w:val="000F7EA6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4DF7"/>
    <w:rsid w:val="001363EC"/>
    <w:rsid w:val="00136899"/>
    <w:rsid w:val="001410A2"/>
    <w:rsid w:val="00142910"/>
    <w:rsid w:val="00143A3B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3F9F"/>
    <w:rsid w:val="001A4331"/>
    <w:rsid w:val="001A476B"/>
    <w:rsid w:val="001A4BCB"/>
    <w:rsid w:val="001B391D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1681C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626B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3F7A66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47B5"/>
    <w:rsid w:val="004259BC"/>
    <w:rsid w:val="00426234"/>
    <w:rsid w:val="004417B6"/>
    <w:rsid w:val="00441E14"/>
    <w:rsid w:val="004436CE"/>
    <w:rsid w:val="00444199"/>
    <w:rsid w:val="00457C22"/>
    <w:rsid w:val="0046242D"/>
    <w:rsid w:val="004627A3"/>
    <w:rsid w:val="00462D05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0776B"/>
    <w:rsid w:val="00514213"/>
    <w:rsid w:val="00516B9A"/>
    <w:rsid w:val="00517CC9"/>
    <w:rsid w:val="0052038A"/>
    <w:rsid w:val="005212A3"/>
    <w:rsid w:val="00524720"/>
    <w:rsid w:val="00525C66"/>
    <w:rsid w:val="0053142D"/>
    <w:rsid w:val="00532179"/>
    <w:rsid w:val="005325AC"/>
    <w:rsid w:val="00537881"/>
    <w:rsid w:val="00542A4E"/>
    <w:rsid w:val="00543130"/>
    <w:rsid w:val="005431FD"/>
    <w:rsid w:val="005463D1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4DA6"/>
    <w:rsid w:val="00605C21"/>
    <w:rsid w:val="0060683E"/>
    <w:rsid w:val="00606862"/>
    <w:rsid w:val="00606A25"/>
    <w:rsid w:val="00612BE8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1CA1"/>
    <w:rsid w:val="006B2068"/>
    <w:rsid w:val="006B21DD"/>
    <w:rsid w:val="006B633E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10A1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3C22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C62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306"/>
    <w:rsid w:val="008A3163"/>
    <w:rsid w:val="008A3977"/>
    <w:rsid w:val="008A67AF"/>
    <w:rsid w:val="008A6905"/>
    <w:rsid w:val="008B32CF"/>
    <w:rsid w:val="008B3429"/>
    <w:rsid w:val="008B6CBF"/>
    <w:rsid w:val="008C0FF5"/>
    <w:rsid w:val="008C16B7"/>
    <w:rsid w:val="008C16DF"/>
    <w:rsid w:val="008C2397"/>
    <w:rsid w:val="008C6D31"/>
    <w:rsid w:val="008C7645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69F9"/>
    <w:rsid w:val="00953EDC"/>
    <w:rsid w:val="009575A5"/>
    <w:rsid w:val="00962D73"/>
    <w:rsid w:val="00963D9C"/>
    <w:rsid w:val="00964E59"/>
    <w:rsid w:val="009671DB"/>
    <w:rsid w:val="009706C3"/>
    <w:rsid w:val="00971C80"/>
    <w:rsid w:val="0097598C"/>
    <w:rsid w:val="00981EFD"/>
    <w:rsid w:val="009829EE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56AB"/>
    <w:rsid w:val="009F12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C19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0408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0402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2FCA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2E90"/>
    <w:rsid w:val="00C542CC"/>
    <w:rsid w:val="00C56143"/>
    <w:rsid w:val="00C566F3"/>
    <w:rsid w:val="00C57A9C"/>
    <w:rsid w:val="00C65992"/>
    <w:rsid w:val="00C67556"/>
    <w:rsid w:val="00C73FC3"/>
    <w:rsid w:val="00C84166"/>
    <w:rsid w:val="00C877BF"/>
    <w:rsid w:val="00C9272A"/>
    <w:rsid w:val="00C93523"/>
    <w:rsid w:val="00C93CAC"/>
    <w:rsid w:val="00C96C0F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3CD9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97F37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33549"/>
    <w:rsid w:val="00E4359D"/>
    <w:rsid w:val="00E444F3"/>
    <w:rsid w:val="00E44BE0"/>
    <w:rsid w:val="00E4612E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C2B3A"/>
    <w:rsid w:val="00EC6081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8783D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49B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new/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&#1089;&#1086;&#1089;&#1085;&#1086;&#1074;&#1089;&#1082;&#1080;&#1081;74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B9974-F636-4C29-AFDB-692C7D75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5773</TotalTime>
  <Pages>10</Pages>
  <Words>6437</Words>
  <Characters>36694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102</cp:revision>
  <cp:lastPrinted>2023-04-11T04:50:00Z</cp:lastPrinted>
  <dcterms:created xsi:type="dcterms:W3CDTF">2017-09-14T07:04:00Z</dcterms:created>
  <dcterms:modified xsi:type="dcterms:W3CDTF">2023-04-17T11:37:00Z</dcterms:modified>
</cp:coreProperties>
</file>