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2D" w:rsidRDefault="0089542D" w:rsidP="008954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89542D" w:rsidRPr="005C6A76" w:rsidRDefault="0089542D" w:rsidP="0089542D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</w:rPr>
        <w:t>о проведении аукциона в электронной форме по продаже земельн</w:t>
      </w:r>
      <w:r>
        <w:rPr>
          <w:b/>
          <w:sz w:val="22"/>
          <w:szCs w:val="22"/>
        </w:rPr>
        <w:t>ых</w:t>
      </w:r>
      <w:r w:rsidRPr="005C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участков</w:t>
      </w:r>
      <w:r w:rsidRPr="005C6A76">
        <w:rPr>
          <w:b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5C6A76" w:rsidRDefault="0089542D" w:rsidP="0089542D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  <w:lang w:val="en-US"/>
        </w:rPr>
        <w:t>http</w:t>
      </w:r>
      <w:r w:rsidRPr="005C6A76">
        <w:rPr>
          <w:b/>
          <w:sz w:val="22"/>
          <w:szCs w:val="22"/>
        </w:rPr>
        <w:t>://</w:t>
      </w:r>
      <w:r w:rsidRPr="005C6A76">
        <w:rPr>
          <w:b/>
          <w:sz w:val="22"/>
          <w:szCs w:val="22"/>
          <w:lang w:val="en-US"/>
        </w:rPr>
        <w:t>utp</w:t>
      </w:r>
      <w:r w:rsidRPr="005C6A76">
        <w:rPr>
          <w:b/>
          <w:sz w:val="22"/>
          <w:szCs w:val="22"/>
        </w:rPr>
        <w:t>.</w:t>
      </w:r>
      <w:r w:rsidRPr="005C6A76">
        <w:rPr>
          <w:b/>
          <w:sz w:val="22"/>
          <w:szCs w:val="22"/>
          <w:lang w:val="en-US"/>
        </w:rPr>
        <w:t>sberbank</w:t>
      </w:r>
      <w:r w:rsidRPr="005C6A76">
        <w:rPr>
          <w:b/>
          <w:sz w:val="22"/>
          <w:szCs w:val="22"/>
        </w:rPr>
        <w:t>-</w:t>
      </w:r>
      <w:r w:rsidRPr="005C6A76">
        <w:rPr>
          <w:b/>
          <w:sz w:val="22"/>
          <w:szCs w:val="22"/>
          <w:lang w:val="en-US"/>
        </w:rPr>
        <w:t>ast</w:t>
      </w:r>
      <w:r w:rsidRPr="005C6A76">
        <w:rPr>
          <w:b/>
          <w:sz w:val="22"/>
          <w:szCs w:val="22"/>
        </w:rPr>
        <w:t>.</w:t>
      </w:r>
      <w:r w:rsidRPr="005C6A76">
        <w:rPr>
          <w:b/>
          <w:sz w:val="22"/>
          <w:szCs w:val="22"/>
          <w:lang w:val="en-US"/>
        </w:rPr>
        <w:t>ru</w:t>
      </w:r>
      <w:r w:rsidRPr="005C6A76">
        <w:rPr>
          <w:b/>
          <w:sz w:val="22"/>
          <w:szCs w:val="22"/>
        </w:rPr>
        <w:t>/</w:t>
      </w:r>
    </w:p>
    <w:p w:rsidR="0089542D" w:rsidRDefault="0089542D" w:rsidP="0089542D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89542D" w:rsidRDefault="0089542D" w:rsidP="0089542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права на заключение договора аренды земельных участков</w:t>
      </w:r>
      <w:r w:rsidRPr="000A79F8">
        <w:t xml:space="preserve"> </w:t>
      </w:r>
      <w:r w:rsidRPr="000A79F8">
        <w:rPr>
          <w:sz w:val="22"/>
          <w:szCs w:val="22"/>
        </w:rPr>
        <w:t>на электронной торгово</w:t>
      </w:r>
      <w:r>
        <w:rPr>
          <w:sz w:val="22"/>
          <w:szCs w:val="22"/>
        </w:rPr>
        <w:t xml:space="preserve">й площадке АО «Сбербанк - АСТ», </w:t>
      </w:r>
      <w:r w:rsidRPr="000A79F8">
        <w:rPr>
          <w:sz w:val="22"/>
          <w:szCs w:val="22"/>
        </w:rPr>
        <w:t>http://utp.sberbank-ast.ru/</w:t>
      </w:r>
      <w:r>
        <w:rPr>
          <w:sz w:val="22"/>
          <w:szCs w:val="22"/>
        </w:rPr>
        <w:t xml:space="preserve"> (</w:t>
      </w:r>
      <w:r w:rsidR="00462FB9">
        <w:rPr>
          <w:sz w:val="22"/>
          <w:szCs w:val="22"/>
        </w:rPr>
        <w:t>1-лот</w:t>
      </w:r>
      <w:r>
        <w:rPr>
          <w:sz w:val="22"/>
          <w:szCs w:val="22"/>
        </w:rPr>
        <w:t>):</w:t>
      </w:r>
    </w:p>
    <w:p w:rsidR="0089542D" w:rsidRDefault="0089542D" w:rsidP="0089542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832"/>
        <w:gridCol w:w="1656"/>
        <w:gridCol w:w="1417"/>
        <w:gridCol w:w="1418"/>
        <w:gridCol w:w="1134"/>
        <w:gridCol w:w="1029"/>
        <w:gridCol w:w="1108"/>
      </w:tblGrid>
      <w:tr w:rsidR="0089542D" w:rsidTr="0089542D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89542D" w:rsidTr="0089542D">
        <w:trPr>
          <w:trHeight w:val="154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из категории земель: «</w:t>
            </w:r>
            <w:r w:rsidRPr="00A5638E">
              <w:rPr>
                <w:b/>
                <w:sz w:val="16"/>
                <w:szCs w:val="18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b/>
                <w:sz w:val="16"/>
                <w:szCs w:val="18"/>
                <w:lang w:eastAsia="en-US"/>
              </w:rPr>
              <w:t>»:</w:t>
            </w:r>
          </w:p>
        </w:tc>
      </w:tr>
      <w:tr w:rsidR="0089542D" w:rsidTr="0089542D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 xml:space="preserve">Челябинская область, Сосновский муниципальный район,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00D15">
              <w:rPr>
                <w:sz w:val="16"/>
                <w:szCs w:val="18"/>
                <w:lang w:eastAsia="en-US"/>
              </w:rPr>
              <w:br/>
            </w:r>
            <w:r w:rsidRPr="00A5638E">
              <w:rPr>
                <w:sz w:val="16"/>
                <w:szCs w:val="18"/>
                <w:lang w:eastAsia="en-US"/>
              </w:rPr>
              <w:t>10 556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u w:val="single"/>
                <w:lang w:eastAsia="en-US"/>
              </w:rPr>
            </w:pPr>
            <w:r w:rsidRPr="00C00D15">
              <w:rPr>
                <w:sz w:val="16"/>
                <w:szCs w:val="18"/>
                <w:shd w:val="clear" w:color="auto" w:fill="F8F9FA"/>
                <w:lang w:eastAsia="en-US"/>
              </w:rPr>
              <w:br/>
              <w:t>74:19: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1104001:118</w:t>
            </w:r>
            <w:r>
              <w:rPr>
                <w:sz w:val="16"/>
                <w:szCs w:val="18"/>
                <w:lang w:eastAsia="en-US"/>
              </w:rPr>
              <w:br/>
            </w:r>
            <w:r w:rsidRPr="00A5638E">
              <w:rPr>
                <w:sz w:val="16"/>
                <w:szCs w:val="18"/>
                <w:shd w:val="clear" w:color="auto" w:fill="F8F9FA"/>
                <w:lang w:eastAsia="en-US"/>
              </w:rPr>
              <w:t>2 269 328,88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A5638E">
              <w:rPr>
                <w:sz w:val="16"/>
                <w:szCs w:val="18"/>
                <w:lang w:eastAsia="en-US"/>
              </w:rPr>
              <w:t>В аренду, срок аренды 4 года 8 месяцев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sz w:val="16"/>
                <w:szCs w:val="18"/>
                <w:lang w:eastAsia="en-US"/>
              </w:rPr>
              <w:t>для строительства административных и производственных зданий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340 399,33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340 399,33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2D" w:rsidRDefault="0089542D" w:rsidP="0089542D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10 211,97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89542D" w:rsidRDefault="0089542D" w:rsidP="0089542D">
      <w:pPr>
        <w:rPr>
          <w:b/>
          <w:sz w:val="22"/>
          <w:szCs w:val="22"/>
        </w:rPr>
      </w:pPr>
    </w:p>
    <w:p w:rsidR="0089542D" w:rsidRDefault="0089542D" w:rsidP="0089542D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89542D" w:rsidRDefault="0089542D" w:rsidP="0089542D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A91B54">
        <w:rPr>
          <w:sz w:val="24"/>
          <w:szCs w:val="24"/>
        </w:rPr>
        <w:t>в электронной форме.</w:t>
      </w:r>
    </w:p>
    <w:p w:rsidR="0089542D" w:rsidRPr="005C6A76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29 марта 2023 года.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28 апреля 2023 года.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0A79F8">
        <w:rPr>
          <w:rFonts w:eastAsiaTheme="minorEastAsia"/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8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  <w:r>
        <w:rPr>
          <w:rFonts w:eastAsiaTheme="minorEastAsia"/>
          <w:sz w:val="22"/>
          <w:szCs w:val="22"/>
        </w:rPr>
        <w:t xml:space="preserve"> Дополнительная информация 8(35144)90356.</w:t>
      </w:r>
    </w:p>
    <w:p w:rsidR="0089542D" w:rsidRPr="000A79F8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 w:rsidRPr="000A79F8">
        <w:rPr>
          <w:rFonts w:eastAsiaTheme="minorEastAsia"/>
          <w:sz w:val="22"/>
          <w:szCs w:val="22"/>
        </w:rPr>
        <w:t>02 мая 2023 г</w:t>
      </w:r>
      <w:r>
        <w:rPr>
          <w:rFonts w:eastAsiaTheme="minorEastAsia"/>
          <w:sz w:val="22"/>
          <w:szCs w:val="22"/>
        </w:rPr>
        <w:t>ода.</w:t>
      </w:r>
    </w:p>
    <w:p w:rsidR="0089542D" w:rsidRDefault="0089542D" w:rsidP="0089542D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>0</w:t>
      </w:r>
      <w:r w:rsidR="00753154">
        <w:rPr>
          <w:rFonts w:eastAsiaTheme="minorEastAsia"/>
          <w:sz w:val="22"/>
          <w:szCs w:val="22"/>
        </w:rPr>
        <w:t>3</w:t>
      </w:r>
      <w:bookmarkStart w:id="0" w:name="_GoBack"/>
      <w:bookmarkEnd w:id="0"/>
      <w:r>
        <w:rPr>
          <w:rFonts w:eastAsiaTheme="minorEastAsia"/>
          <w:sz w:val="22"/>
          <w:szCs w:val="22"/>
        </w:rPr>
        <w:t xml:space="preserve"> мая 2023 года в 11.30 по местному времени </w:t>
      </w:r>
      <w:r w:rsidRPr="000A79F8">
        <w:rPr>
          <w:rFonts w:eastAsiaTheme="minorEastAsia"/>
          <w:sz w:val="22"/>
          <w:szCs w:val="22"/>
        </w:rPr>
        <w:t>на электронной площадке</w:t>
      </w:r>
      <w:r>
        <w:rPr>
          <w:rFonts w:eastAsiaTheme="minorEastAsia"/>
          <w:sz w:val="22"/>
          <w:szCs w:val="22"/>
        </w:rPr>
        <w:t xml:space="preserve"> </w:t>
      </w:r>
      <w:r w:rsidRPr="000A79F8">
        <w:rPr>
          <w:rFonts w:eastAsiaTheme="minorEastAsia"/>
          <w:sz w:val="22"/>
          <w:szCs w:val="22"/>
        </w:rPr>
        <w:t xml:space="preserve">АО «Сбербанк-АСТ», на сайте: </w:t>
      </w:r>
      <w:hyperlink r:id="rId9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89542D" w:rsidRPr="00624C48" w:rsidRDefault="0089542D" w:rsidP="008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0A79F8">
        <w:rPr>
          <w:rFonts w:eastAsiaTheme="minorEastAsia"/>
          <w:sz w:val="22"/>
          <w:szCs w:val="22"/>
        </w:rPr>
        <w:t xml:space="preserve">9. </w:t>
      </w:r>
      <w:r w:rsidRPr="00624C48">
        <w:rPr>
          <w:b/>
          <w:sz w:val="22"/>
          <w:szCs w:val="22"/>
        </w:rPr>
        <w:t>Оператор электронной площадки.</w:t>
      </w:r>
    </w:p>
    <w:p w:rsidR="0089542D" w:rsidRPr="000A79F8" w:rsidRDefault="0089542D" w:rsidP="0089542D">
      <w:pPr>
        <w:widowControl/>
        <w:autoSpaceDE/>
        <w:autoSpaceDN/>
        <w:adjustRightInd/>
        <w:ind w:left="708"/>
        <w:contextualSpacing/>
        <w:jc w:val="both"/>
        <w:rPr>
          <w:sz w:val="22"/>
          <w:szCs w:val="22"/>
        </w:rPr>
      </w:pPr>
      <w:r w:rsidRPr="000A79F8">
        <w:rPr>
          <w:color w:val="333333"/>
          <w:sz w:val="22"/>
          <w:szCs w:val="22"/>
        </w:rPr>
        <w:t>А</w:t>
      </w:r>
      <w:r w:rsidRPr="000A79F8">
        <w:rPr>
          <w:sz w:val="22"/>
          <w:szCs w:val="22"/>
        </w:rPr>
        <w:t>кционерное общество «Сбербанк - Автоматизированная система торгов»</w:t>
      </w:r>
      <w:r w:rsidR="00624C48">
        <w:rPr>
          <w:rFonts w:ascii="Arial" w:hAnsi="Arial" w:cs="Arial"/>
          <w:color w:val="333333"/>
          <w:sz w:val="22"/>
          <w:szCs w:val="22"/>
        </w:rPr>
        <w:t xml:space="preserve"> </w:t>
      </w:r>
      <w:r w:rsidRPr="000A79F8">
        <w:rPr>
          <w:color w:val="333333"/>
          <w:sz w:val="22"/>
          <w:szCs w:val="22"/>
        </w:rPr>
        <w:t>(АО «Сбербанк – АСТ»)</w:t>
      </w:r>
      <w:r w:rsidRPr="000A79F8">
        <w:rPr>
          <w:sz w:val="22"/>
          <w:szCs w:val="22"/>
        </w:rPr>
        <w:t xml:space="preserve"> </w:t>
      </w:r>
      <w:r w:rsidRPr="000A79F8">
        <w:rPr>
          <w:sz w:val="22"/>
          <w:szCs w:val="22"/>
          <w:lang w:val="en-US"/>
        </w:rPr>
        <w:t>htth</w:t>
      </w:r>
      <w:r w:rsidRPr="000A79F8">
        <w:rPr>
          <w:sz w:val="22"/>
          <w:szCs w:val="22"/>
        </w:rPr>
        <w:t>://</w:t>
      </w:r>
      <w:hyperlink r:id="rId10" w:history="1">
        <w:r w:rsidRPr="000A79F8">
          <w:rPr>
            <w:color w:val="0000FF"/>
            <w:sz w:val="22"/>
            <w:szCs w:val="22"/>
            <w:u w:val="single"/>
          </w:rPr>
          <w:t>www.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0A79F8">
          <w:rPr>
            <w:color w:val="0000FF"/>
            <w:sz w:val="22"/>
            <w:szCs w:val="22"/>
            <w:u w:val="single"/>
          </w:rPr>
          <w:t>-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ast</w:t>
        </w:r>
        <w:r w:rsidRPr="000A79F8">
          <w:rPr>
            <w:color w:val="0000FF"/>
            <w:sz w:val="22"/>
            <w:szCs w:val="22"/>
            <w:u w:val="single"/>
          </w:rPr>
          <w:t>.ru/</w:t>
        </w:r>
      </w:hyperlink>
      <w:r w:rsidRPr="000A79F8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89542D" w:rsidRPr="000A79F8" w:rsidRDefault="0089542D" w:rsidP="0089542D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Юридический адрес:</w:t>
      </w:r>
      <w:r w:rsidRPr="000A79F8"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89542D" w:rsidRPr="000A79F8" w:rsidRDefault="0089542D" w:rsidP="0089542D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Почтовый адрес:</w:t>
      </w:r>
      <w:r w:rsidRPr="000A79F8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89542D" w:rsidRPr="005F6D87" w:rsidRDefault="0089542D" w:rsidP="0089542D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Средства платежа:</w:t>
      </w:r>
      <w:r w:rsidRPr="005F6D87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89542D" w:rsidRPr="005F6D87" w:rsidRDefault="0089542D" w:rsidP="0089542D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Порядок осмотра земельного участка:</w:t>
      </w:r>
      <w:r w:rsidRPr="005F6D87">
        <w:rPr>
          <w:rFonts w:ascii="Times New Roman" w:hAnsi="Times New Roman" w:cs="Times New Roman"/>
        </w:rPr>
        <w:t xml:space="preserve"> осмотр земельного участка производится заявителем самостоятельно.</w:t>
      </w:r>
    </w:p>
    <w:p w:rsidR="004E3749" w:rsidRDefault="004E374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3309F1">
        <w:rPr>
          <w:sz w:val="22"/>
          <w:szCs w:val="22"/>
        </w:rPr>
        <w:t>20.0</w:t>
      </w:r>
      <w:r w:rsidR="002334BF">
        <w:rPr>
          <w:sz w:val="22"/>
          <w:szCs w:val="22"/>
        </w:rPr>
        <w:t>3</w:t>
      </w:r>
      <w:r w:rsidR="003309F1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2334BF">
        <w:rPr>
          <w:sz w:val="22"/>
          <w:szCs w:val="22"/>
        </w:rPr>
        <w:t>25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2334BF">
        <w:rPr>
          <w:sz w:val="22"/>
          <w:szCs w:val="22"/>
        </w:rPr>
        <w:t>права на заключение договора аренды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2334BF">
        <w:rPr>
          <w:sz w:val="22"/>
          <w:szCs w:val="22"/>
        </w:rPr>
        <w:t>10 556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>Челябинская область, р-н С</w:t>
      </w:r>
      <w:r w:rsidR="002334BF"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 xml:space="preserve">, </w:t>
      </w:r>
      <w:r w:rsidR="002334BF" w:rsidRPr="002334BF">
        <w:rPr>
          <w:sz w:val="22"/>
          <w:szCs w:val="22"/>
        </w:rPr>
        <w:t>для строительства административных и производственных зданий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2334BF">
        <w:rPr>
          <w:sz w:val="22"/>
          <w:szCs w:val="22"/>
        </w:rPr>
        <w:t>10 556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2334BF">
        <w:rPr>
          <w:sz w:val="22"/>
          <w:szCs w:val="22"/>
        </w:rPr>
        <w:t>1104001:118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Pr="003A0C6B">
        <w:rPr>
          <w:sz w:val="22"/>
          <w:szCs w:val="22"/>
        </w:rPr>
        <w:t xml:space="preserve">(далее - земельный </w:t>
      </w:r>
      <w:r w:rsidRPr="003A0C6B">
        <w:rPr>
          <w:sz w:val="22"/>
          <w:szCs w:val="22"/>
        </w:rPr>
        <w:lastRenderedPageBreak/>
        <w:t>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="002334BF" w:rsidRPr="002334BF">
        <w:rPr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A0C6B">
        <w:rPr>
          <w:sz w:val="22"/>
          <w:szCs w:val="22"/>
        </w:rPr>
        <w:t xml:space="preserve">». </w:t>
      </w:r>
    </w:p>
    <w:p w:rsidR="002334BF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="002334BF" w:rsidRPr="002334BF">
        <w:rPr>
          <w:sz w:val="22"/>
          <w:szCs w:val="22"/>
        </w:rPr>
        <w:t xml:space="preserve">для строительства административных и производственных зданий </w:t>
      </w:r>
      <w:r w:rsidR="002334BF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1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3309F1" w:rsidRPr="002334BF" w:rsidRDefault="004259BC" w:rsidP="002334B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2334BF" w:rsidRPr="002334BF">
        <w:rPr>
          <w:b/>
          <w:sz w:val="22"/>
          <w:szCs w:val="22"/>
        </w:rPr>
        <w:t>Охранная зона ВЛ 10 кВ №2 от ПС Кременкуль.</w:t>
      </w:r>
    </w:p>
    <w:p w:rsidR="002334BF" w:rsidRDefault="002334BF" w:rsidP="002334B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2334BF">
        <w:rPr>
          <w:sz w:val="22"/>
          <w:szCs w:val="22"/>
        </w:rPr>
        <w:t>Согласно Правил охраны электрических сетей напряжением свыше 1000 вольт, утвержденных постановлением Совета Министров СССР № 255 от 26.03.1984, в охранных зонах электрических сетей без письменного согласия предприятий (организаций), в ведении которых находятся эти сети, запрещается:&amp;#x0d; а) производить строительство, капитальный ремонт, реконструкцию или снос любых зданий и сооружений;&amp;#x0d; б) осуществлять всякого рода горные, погрузочно - 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культур;&amp;#x0d;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электропередачи);&amp;#x0d;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электропередачи);&amp;#x0d; д)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электропередачи).&amp;#x0d; 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сетей.&amp;#x0d; Письменное согласие на производство взрывных работ в охранных зонах электрических сетей выдается только после представления предприятиями, организациями и учреждениями, производящими эти работы, соответствующих материалов, предусмотренных едиными правилами безопасности при взрывных работах, утверждаемыми Госгортехнадзором СССР.&amp;#x0d; Отказ предприятий (организаций), в ведении которых находятся электрические сети, в выдаче письменного согласия на проведение в охранных зонах электрических сетей работ, предусмотренных в настоящем пункте, может быть обжалован в установленном порядке.</w:t>
      </w:r>
    </w:p>
    <w:p w:rsidR="002334BF" w:rsidRPr="002334BF" w:rsidRDefault="002334BF" w:rsidP="002334B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2334BF">
        <w:rPr>
          <w:b/>
          <w:sz w:val="22"/>
          <w:szCs w:val="22"/>
        </w:rPr>
        <w:t>ридорожные полосы автомобильных дорог общего пользования регионального или межмуниципального значения Челябинской области Челябинск-Харлуши-граница Аргаяшского муниципального раонйа (II категория).</w:t>
      </w:r>
    </w:p>
    <w:p w:rsidR="002334BF" w:rsidRPr="002334BF" w:rsidRDefault="002334BF" w:rsidP="002334B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2334BF">
        <w:rPr>
          <w:sz w:val="22"/>
          <w:szCs w:val="22"/>
        </w:rPr>
        <w:t xml:space="preserve">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определено: Статья 26. Придорожные полосы автомобильных дорог&amp;#x0d; п. 8.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исполнению).&amp;#x0d; 8.1. 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настоящей статьи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</w:t>
      </w:r>
      <w:r w:rsidRPr="002334BF">
        <w:rPr>
          <w:sz w:val="22"/>
          <w:szCs w:val="22"/>
        </w:rPr>
        <w:lastRenderedPageBreak/>
        <w:t>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2334BF" w:rsidRPr="00B275A0" w:rsidRDefault="00B275A0" w:rsidP="002334B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B275A0">
        <w:rPr>
          <w:b/>
          <w:sz w:val="22"/>
          <w:szCs w:val="22"/>
        </w:rPr>
        <w:t>Охранная зона волоконно – оптической линии связи (ВОЛС) «Уфа-Челябинск-Екатеринбург»</w:t>
      </w:r>
    </w:p>
    <w:p w:rsidR="003309F1" w:rsidRPr="003309F1" w:rsidRDefault="003309F1" w:rsidP="003309F1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B275A0">
        <w:rPr>
          <w:sz w:val="22"/>
          <w:szCs w:val="22"/>
        </w:rPr>
        <w:t>П1</w:t>
      </w:r>
      <w:r w:rsidRPr="003309F1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B275A0" w:rsidRPr="00B275A0" w:rsidRDefault="00B275A0" w:rsidP="00B275A0">
      <w:pPr>
        <w:ind w:firstLine="709"/>
        <w:jc w:val="both"/>
        <w:rPr>
          <w:b/>
          <w:bCs/>
          <w:sz w:val="22"/>
          <w:szCs w:val="22"/>
        </w:rPr>
      </w:pPr>
      <w:r w:rsidRPr="00B275A0">
        <w:rPr>
          <w:b/>
          <w:bCs/>
          <w:sz w:val="22"/>
          <w:szCs w:val="22"/>
        </w:rPr>
        <w:t>Основные виды разрешенного использования: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6.1 – недропользование: 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 xml:space="preserve"> 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6.2 – тяжелая промышленность: размещение объектов капитального строительства горно- 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6.3 – легкая промышленность: размещение объектов капитального строительства, предназначенных для текстильной, фарфорофаянсовой, электронной промышленности;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6.3.1 – фармацевтическая промышленность: 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6.4 – пищевая   промышленность:   размещение   объектов   пищевой  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6.5 – нефтехимическая промышленность: 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6.6 – строительная промышленность: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6.9 – склады: размещение сооружений, имеющих назначение по временному хранению, распределению   и   перевалке грузов   (за исключением хранения стратегических  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6.9.1 – складские площадки: временное хранение, распределение и перевалка грузов (за исключением хранения стратегических запасов) на открытом воздухе;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B275A0" w:rsidRPr="00B275A0" w:rsidRDefault="00B275A0" w:rsidP="00B275A0">
      <w:pPr>
        <w:ind w:firstLine="709"/>
        <w:jc w:val="both"/>
        <w:rPr>
          <w:b/>
          <w:bCs/>
          <w:sz w:val="22"/>
          <w:szCs w:val="22"/>
        </w:rPr>
      </w:pPr>
      <w:r w:rsidRPr="00B275A0">
        <w:rPr>
          <w:b/>
          <w:bCs/>
          <w:sz w:val="22"/>
          <w:szCs w:val="22"/>
        </w:rPr>
        <w:t>Условно разрешенные виды использования: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 xml:space="preserve">код 3.5.2 – 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   училища,    общества     знаний,     институты,     университеты,     организации по переподготовке и повышению </w:t>
      </w:r>
      <w:r w:rsidRPr="00B275A0">
        <w:rPr>
          <w:bCs/>
          <w:sz w:val="22"/>
          <w:szCs w:val="22"/>
        </w:rPr>
        <w:lastRenderedPageBreak/>
        <w:t>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4.9.1 – 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использования с кодами 4.9.1.1 - 4.9.1.4.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 xml:space="preserve"> </w:t>
      </w:r>
    </w:p>
    <w:p w:rsidR="00B275A0" w:rsidRPr="00B275A0" w:rsidRDefault="00B275A0" w:rsidP="00B275A0">
      <w:pPr>
        <w:ind w:firstLine="709"/>
        <w:jc w:val="both"/>
        <w:rPr>
          <w:b/>
          <w:bCs/>
          <w:sz w:val="22"/>
          <w:szCs w:val="22"/>
        </w:rPr>
      </w:pPr>
      <w:r w:rsidRPr="00B275A0">
        <w:rPr>
          <w:b/>
          <w:bCs/>
          <w:sz w:val="22"/>
          <w:szCs w:val="22"/>
        </w:rPr>
        <w:t>Вспомогательные виды разрешенного использования: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3.4.1 – 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 кодами 3.7.1-3.7.2;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3.9 – 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 кодами 3.9.1 - 3.9.3;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4.2 – 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   услуг    в    соответствии    с    содержанием    видов    разрешенного    использования с кодами 4.5 - 4.8.2; размещение гаражей и (или) стоянок для автомобилей сотрудников и посетителей торгового центра;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</w:t>
      </w:r>
      <w:r w:rsidRPr="00B275A0">
        <w:rPr>
          <w:bCs/>
          <w:sz w:val="22"/>
          <w:szCs w:val="22"/>
        </w:rPr>
        <w:tab/>
        <w:t>для временного проживания в них;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B275A0" w:rsidRPr="00B275A0" w:rsidRDefault="00B275A0" w:rsidP="00B275A0">
      <w:pPr>
        <w:ind w:firstLine="709"/>
        <w:jc w:val="both"/>
        <w:rPr>
          <w:bCs/>
          <w:sz w:val="22"/>
          <w:szCs w:val="22"/>
        </w:rPr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5.1.3 –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для спортивной игры);</w:t>
      </w:r>
    </w:p>
    <w:p w:rsidR="00286AA8" w:rsidRPr="00B275A0" w:rsidRDefault="00B275A0" w:rsidP="00B275A0">
      <w:pPr>
        <w:ind w:firstLine="709"/>
        <w:jc w:val="both"/>
      </w:pPr>
      <w:r w:rsidRPr="00B275A0">
        <w:rPr>
          <w:bCs/>
          <w:sz w:val="22"/>
          <w:szCs w:val="22"/>
        </w:rPr>
        <w:t>-</w:t>
      </w:r>
      <w:r w:rsidRPr="00B275A0">
        <w:rPr>
          <w:bCs/>
          <w:sz w:val="22"/>
          <w:szCs w:val="22"/>
        </w:rPr>
        <w:tab/>
        <w:t>код 7.0 – транспорт: размещение различного рода путей сообщения и сооружений, используемых для перевозки людей или грузов, либо передачи веществ, содержание данного вида разрешенного использования включает в себя содержание видов разрешенного использования с кодами 7.1 -7.5.</w:t>
      </w:r>
    </w:p>
    <w:p w:rsidR="004259BC" w:rsidRPr="000A7A4C" w:rsidRDefault="00C74071" w:rsidP="004259BC">
      <w:pPr>
        <w:ind w:firstLine="709"/>
        <w:jc w:val="both"/>
        <w:rPr>
          <w:b/>
          <w:sz w:val="22"/>
          <w:szCs w:val="22"/>
        </w:rPr>
      </w:pPr>
      <w:hyperlink r:id="rId12" w:anchor="dst100606" w:history="1">
        <w:r w:rsidR="004259BC" w:rsidRPr="000A7A4C">
          <w:rPr>
            <w:b/>
            <w:sz w:val="22"/>
            <w:szCs w:val="22"/>
          </w:rPr>
          <w:t>Предельные</w:t>
        </w:r>
      </w:hyperlink>
      <w:r w:rsidR="004259BC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9BC" w:rsidRPr="000A7A4C" w:rsidRDefault="004259BC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B275A0" w:rsidP="00B275A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  <w:r w:rsidR="00EF627E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B275A0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B275A0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B275A0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B275A0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lastRenderedPageBreak/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B275A0">
        <w:rPr>
          <w:sz w:val="22"/>
          <w:szCs w:val="22"/>
        </w:rPr>
        <w:t>7</w:t>
      </w:r>
      <w:r>
        <w:rPr>
          <w:sz w:val="22"/>
          <w:szCs w:val="22"/>
        </w:rPr>
        <w:t>-202</w:t>
      </w:r>
      <w:r w:rsidR="00792979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B275A0">
        <w:rPr>
          <w:sz w:val="22"/>
          <w:szCs w:val="22"/>
        </w:rPr>
        <w:t>869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B275A0" w:rsidRPr="00B275A0">
        <w:rPr>
          <w:sz w:val="22"/>
          <w:szCs w:val="22"/>
        </w:rPr>
        <w:t>для строительства административных и производственных зданий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B275A0">
        <w:rPr>
          <w:sz w:val="22"/>
          <w:szCs w:val="22"/>
        </w:rPr>
        <w:t xml:space="preserve">10 556 </w:t>
      </w:r>
      <w:r w:rsidRPr="000A7A4C">
        <w:rPr>
          <w:sz w:val="22"/>
          <w:szCs w:val="22"/>
        </w:rPr>
        <w:t>кв.м., с кадастровым номером 74:19:</w:t>
      </w:r>
      <w:r w:rsidR="00B275A0">
        <w:rPr>
          <w:sz w:val="22"/>
          <w:szCs w:val="22"/>
        </w:rPr>
        <w:t>1104001:118</w:t>
      </w:r>
      <w:r>
        <w:rPr>
          <w:sz w:val="22"/>
          <w:szCs w:val="22"/>
        </w:rPr>
        <w:t>.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4259BC" w:rsidRPr="000A7A4C" w:rsidRDefault="00286AA8" w:rsidP="00B275A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B275A0">
              <w:rPr>
                <w:bCs/>
                <w:color w:val="333333"/>
                <w:sz w:val="18"/>
                <w:szCs w:val="18"/>
              </w:rPr>
              <w:t>Администрация Кременкульского сельского поселения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B275A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B275A0">
              <w:rPr>
                <w:bCs/>
                <w:color w:val="333333"/>
                <w:sz w:val="18"/>
                <w:szCs w:val="18"/>
              </w:rPr>
              <w:t>15.11.2021 №3174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AA640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AA640C"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B275A0">
              <w:rPr>
                <w:bCs/>
                <w:color w:val="333333"/>
                <w:sz w:val="18"/>
                <w:szCs w:val="18"/>
              </w:rPr>
              <w:t>28.12.2021</w:t>
            </w:r>
          </w:p>
          <w:p w:rsidR="004259BC" w:rsidRPr="000A7A4C" w:rsidRDefault="00792979" w:rsidP="00B275A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B275A0">
              <w:rPr>
                <w:bCs/>
                <w:color w:val="333333"/>
                <w:sz w:val="18"/>
                <w:szCs w:val="18"/>
              </w:rPr>
              <w:t>15642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A640C" w:rsidRPr="00AA640C" w:rsidRDefault="00AA640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40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</w:t>
      </w:r>
      <w:r w:rsidR="00462FB9">
        <w:rPr>
          <w:rFonts w:ascii="Times New Roman" w:hAnsi="Times New Roman" w:cs="Times New Roman"/>
          <w:b/>
          <w:sz w:val="22"/>
          <w:szCs w:val="22"/>
        </w:rPr>
        <w:t>аренды</w:t>
      </w:r>
      <w:r w:rsidRPr="00AA640C">
        <w:rPr>
          <w:rFonts w:ascii="Times New Roman" w:hAnsi="Times New Roman" w:cs="Times New Roman"/>
          <w:b/>
          <w:sz w:val="22"/>
          <w:szCs w:val="22"/>
        </w:rPr>
        <w:t xml:space="preserve"> земельного участка) –  </w:t>
      </w:r>
      <w:r w:rsidR="00B275A0">
        <w:rPr>
          <w:rFonts w:ascii="Times New Roman" w:hAnsi="Times New Roman" w:cs="Times New Roman"/>
          <w:sz w:val="22"/>
          <w:szCs w:val="22"/>
        </w:rPr>
        <w:t>340 399</w:t>
      </w:r>
      <w:r w:rsidRPr="00AA640C">
        <w:rPr>
          <w:rFonts w:ascii="Times New Roman" w:hAnsi="Times New Roman" w:cs="Times New Roman"/>
          <w:sz w:val="22"/>
          <w:szCs w:val="22"/>
        </w:rPr>
        <w:t xml:space="preserve"> (</w:t>
      </w:r>
      <w:r w:rsidR="00B275A0">
        <w:rPr>
          <w:rFonts w:ascii="Times New Roman" w:hAnsi="Times New Roman" w:cs="Times New Roman"/>
          <w:sz w:val="22"/>
          <w:szCs w:val="22"/>
        </w:rPr>
        <w:t>триста сорок тысяч триста девяносто девять</w:t>
      </w:r>
      <w:r w:rsidRPr="00AA640C">
        <w:rPr>
          <w:rFonts w:ascii="Times New Roman" w:hAnsi="Times New Roman" w:cs="Times New Roman"/>
          <w:sz w:val="22"/>
          <w:szCs w:val="22"/>
        </w:rPr>
        <w:t>) рублей</w:t>
      </w:r>
      <w:r w:rsidR="00B275A0">
        <w:rPr>
          <w:rFonts w:ascii="Times New Roman" w:hAnsi="Times New Roman" w:cs="Times New Roman"/>
          <w:sz w:val="22"/>
          <w:szCs w:val="22"/>
        </w:rPr>
        <w:t xml:space="preserve"> 33 копеек</w:t>
      </w:r>
      <w:r w:rsidRPr="00AA640C">
        <w:rPr>
          <w:rFonts w:ascii="Times New Roman" w:hAnsi="Times New Roman" w:cs="Times New Roman"/>
          <w:sz w:val="22"/>
          <w:szCs w:val="22"/>
        </w:rPr>
        <w:t>, что составляет 1</w:t>
      </w:r>
      <w:r w:rsidR="00B275A0">
        <w:rPr>
          <w:rFonts w:ascii="Times New Roman" w:hAnsi="Times New Roman" w:cs="Times New Roman"/>
          <w:sz w:val="22"/>
          <w:szCs w:val="22"/>
        </w:rPr>
        <w:t>5</w:t>
      </w:r>
      <w:r w:rsidRPr="00AA640C">
        <w:rPr>
          <w:rFonts w:ascii="Times New Roman" w:hAnsi="Times New Roman" w:cs="Times New Roman"/>
          <w:sz w:val="22"/>
          <w:szCs w:val="22"/>
        </w:rPr>
        <w:t>% от кадастровой стоимости земельного участка;</w:t>
      </w:r>
    </w:p>
    <w:p w:rsidR="00AA640C" w:rsidRPr="00AA640C" w:rsidRDefault="00AA640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40C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="00B275A0">
        <w:rPr>
          <w:rFonts w:ascii="Times New Roman" w:hAnsi="Times New Roman" w:cs="Times New Roman"/>
          <w:sz w:val="22"/>
          <w:szCs w:val="22"/>
        </w:rPr>
        <w:t>10 221</w:t>
      </w:r>
      <w:r w:rsidRPr="00AA640C">
        <w:rPr>
          <w:rFonts w:ascii="Times New Roman" w:hAnsi="Times New Roman" w:cs="Times New Roman"/>
          <w:sz w:val="22"/>
          <w:szCs w:val="22"/>
        </w:rPr>
        <w:t xml:space="preserve"> (</w:t>
      </w:r>
      <w:r w:rsidR="00B275A0">
        <w:rPr>
          <w:rFonts w:ascii="Times New Roman" w:hAnsi="Times New Roman" w:cs="Times New Roman"/>
          <w:sz w:val="22"/>
          <w:szCs w:val="22"/>
        </w:rPr>
        <w:t>десять тысяч двести двадцать один</w:t>
      </w:r>
      <w:r w:rsidRPr="00AA640C">
        <w:rPr>
          <w:rFonts w:ascii="Times New Roman" w:hAnsi="Times New Roman" w:cs="Times New Roman"/>
          <w:sz w:val="22"/>
          <w:szCs w:val="22"/>
        </w:rPr>
        <w:t xml:space="preserve">) рубль </w:t>
      </w:r>
      <w:r w:rsidR="00B275A0">
        <w:rPr>
          <w:rFonts w:ascii="Times New Roman" w:hAnsi="Times New Roman" w:cs="Times New Roman"/>
          <w:sz w:val="22"/>
          <w:szCs w:val="22"/>
        </w:rPr>
        <w:t>97</w:t>
      </w:r>
      <w:r w:rsidRPr="00AA640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:rsidR="00AA640C" w:rsidRDefault="00AA640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40C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="00B275A0" w:rsidRPr="00B275A0">
        <w:rPr>
          <w:rFonts w:ascii="Times New Roman" w:hAnsi="Times New Roman" w:cs="Times New Roman"/>
          <w:sz w:val="22"/>
          <w:szCs w:val="22"/>
        </w:rPr>
        <w:t>340 399 (триста сорок тысяч триста девяносто девять) рублей 33 копеек</w:t>
      </w:r>
      <w:r w:rsidRPr="00AA640C">
        <w:rPr>
          <w:rFonts w:ascii="Times New Roman" w:hAnsi="Times New Roman" w:cs="Times New Roman"/>
          <w:sz w:val="22"/>
          <w:szCs w:val="22"/>
        </w:rPr>
        <w:t>, что составляет 100% от начальной цены лота.</w:t>
      </w:r>
    </w:p>
    <w:p w:rsidR="004259BC" w:rsidRPr="003A0C6B" w:rsidRDefault="004259B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B275A0" w:rsidRPr="008B4383" w:rsidRDefault="00B275A0" w:rsidP="00B275A0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B275A0" w:rsidRPr="008B4383" w:rsidRDefault="00B275A0" w:rsidP="00B275A0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 w:rsidRPr="00B275A0">
        <w:rPr>
          <w:sz w:val="22"/>
          <w:szCs w:val="22"/>
        </w:rPr>
        <w:t>для строительства административных и производственных зданий</w:t>
      </w:r>
      <w:r>
        <w:rPr>
          <w:sz w:val="22"/>
          <w:szCs w:val="22"/>
        </w:rPr>
        <w:t>.</w:t>
      </w:r>
    </w:p>
    <w:p w:rsidR="00B275A0" w:rsidRPr="008B4383" w:rsidRDefault="00B275A0" w:rsidP="00B275A0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>
        <w:rPr>
          <w:sz w:val="22"/>
          <w:szCs w:val="22"/>
        </w:rPr>
        <w:t>4 года 8 месяцев.</w:t>
      </w:r>
    </w:p>
    <w:p w:rsidR="00B275A0" w:rsidRPr="008B4383" w:rsidRDefault="00B275A0" w:rsidP="00B275A0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275A0" w:rsidRPr="008B4383" w:rsidRDefault="00B275A0" w:rsidP="00B275A0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B275A0" w:rsidRDefault="00B275A0" w:rsidP="00B275A0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13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F8783D">
        <w:rPr>
          <w:rFonts w:eastAsiaTheme="minorEastAsia"/>
          <w:b/>
          <w:sz w:val="22"/>
          <w:szCs w:val="22"/>
        </w:rPr>
        <w:t>28.04.2023г.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lastRenderedPageBreak/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14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15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16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C74071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17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71" w:rsidRDefault="00C74071" w:rsidP="00F47A56">
      <w:r>
        <w:separator/>
      </w:r>
    </w:p>
  </w:endnote>
  <w:endnote w:type="continuationSeparator" w:id="0">
    <w:p w:rsidR="00C74071" w:rsidRDefault="00C74071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71" w:rsidRDefault="00C74071" w:rsidP="00F47A56">
      <w:r>
        <w:separator/>
      </w:r>
    </w:p>
  </w:footnote>
  <w:footnote w:type="continuationSeparator" w:id="0">
    <w:p w:rsidR="00C74071" w:rsidRDefault="00C74071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E14"/>
    <w:rsid w:val="004436CE"/>
    <w:rsid w:val="00444199"/>
    <w:rsid w:val="00457C22"/>
    <w:rsid w:val="0046242D"/>
    <w:rsid w:val="004627A3"/>
    <w:rsid w:val="00462D05"/>
    <w:rsid w:val="00462FB9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F1FDB"/>
    <w:rsid w:val="005F2B5B"/>
    <w:rsid w:val="005F456C"/>
    <w:rsid w:val="005F5B9A"/>
    <w:rsid w:val="00604DA6"/>
    <w:rsid w:val="00605C21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3D31"/>
    <w:rsid w:val="00747A73"/>
    <w:rsid w:val="00750482"/>
    <w:rsid w:val="00751B7D"/>
    <w:rsid w:val="00751E96"/>
    <w:rsid w:val="00753154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71DB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42CC"/>
    <w:rsid w:val="00C56143"/>
    <w:rsid w:val="00C566F3"/>
    <w:rsid w:val="00C57A9C"/>
    <w:rsid w:val="00C65992"/>
    <w:rsid w:val="00C67556"/>
    <w:rsid w:val="00C73FC3"/>
    <w:rsid w:val="00C74071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239A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57BA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312302f37ac9299771d2bf4f9b4bb797fb476948/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new/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&#1089;&#1086;&#1089;&#1085;&#1086;&#1074;&#1089;&#1082;&#1080;&#1081;74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494D-07AF-4D51-BE38-AB3AE21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12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89</cp:revision>
  <cp:lastPrinted>2023-02-22T07:51:00Z</cp:lastPrinted>
  <dcterms:created xsi:type="dcterms:W3CDTF">2017-09-14T07:04:00Z</dcterms:created>
  <dcterms:modified xsi:type="dcterms:W3CDTF">2023-03-28T05:59:00Z</dcterms:modified>
</cp:coreProperties>
</file>