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9D" w:rsidRDefault="0095069D" w:rsidP="00950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95069D" w:rsidRPr="005C6A76" w:rsidRDefault="0095069D" w:rsidP="0095069D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</w:rPr>
        <w:t>о проведении аукциона в электронной форме по продаже земельн</w:t>
      </w:r>
      <w:r>
        <w:rPr>
          <w:b/>
          <w:sz w:val="22"/>
          <w:szCs w:val="22"/>
        </w:rPr>
        <w:t>ых</w:t>
      </w:r>
      <w:r w:rsidRPr="005C6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участков</w:t>
      </w:r>
      <w:r w:rsidRPr="005C6A76">
        <w:rPr>
          <w:b/>
          <w:sz w:val="22"/>
          <w:szCs w:val="22"/>
        </w:rPr>
        <w:t xml:space="preserve"> на электронной торговой площадке АО «Сбербанк - АСТ»,</w:t>
      </w:r>
    </w:p>
    <w:p w:rsidR="0095069D" w:rsidRPr="005C6A76" w:rsidRDefault="0095069D" w:rsidP="0095069D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hyperlink r:id="rId8" w:history="1">
        <w:r w:rsidRPr="001A60AB">
          <w:rPr>
            <w:rStyle w:val="a4"/>
            <w:b/>
            <w:sz w:val="22"/>
            <w:szCs w:val="22"/>
            <w:lang w:val="en-US"/>
          </w:rPr>
          <w:t>http</w:t>
        </w:r>
        <w:r w:rsidRPr="001A60AB">
          <w:rPr>
            <w:rStyle w:val="a4"/>
            <w:b/>
            <w:sz w:val="22"/>
            <w:szCs w:val="22"/>
          </w:rPr>
          <w:t>://</w:t>
        </w:r>
        <w:r w:rsidRPr="001A60AB">
          <w:rPr>
            <w:rStyle w:val="a4"/>
            <w:b/>
            <w:sz w:val="22"/>
            <w:szCs w:val="22"/>
            <w:lang w:val="en-US"/>
          </w:rPr>
          <w:t>utp</w:t>
        </w:r>
        <w:r w:rsidRPr="001A60AB">
          <w:rPr>
            <w:rStyle w:val="a4"/>
            <w:b/>
            <w:sz w:val="22"/>
            <w:szCs w:val="22"/>
          </w:rPr>
          <w:t>.</w:t>
        </w:r>
        <w:r w:rsidRPr="001A60AB">
          <w:rPr>
            <w:rStyle w:val="a4"/>
            <w:b/>
            <w:sz w:val="22"/>
            <w:szCs w:val="22"/>
            <w:lang w:val="en-US"/>
          </w:rPr>
          <w:t>sberbank</w:t>
        </w:r>
        <w:r w:rsidRPr="001A60AB">
          <w:rPr>
            <w:rStyle w:val="a4"/>
            <w:b/>
            <w:sz w:val="22"/>
            <w:szCs w:val="22"/>
          </w:rPr>
          <w:t>-</w:t>
        </w:r>
        <w:r w:rsidRPr="001A60AB">
          <w:rPr>
            <w:rStyle w:val="a4"/>
            <w:b/>
            <w:sz w:val="22"/>
            <w:szCs w:val="22"/>
            <w:lang w:val="en-US"/>
          </w:rPr>
          <w:t>ast</w:t>
        </w:r>
        <w:r w:rsidRPr="001A60AB">
          <w:rPr>
            <w:rStyle w:val="a4"/>
            <w:b/>
            <w:sz w:val="22"/>
            <w:szCs w:val="22"/>
          </w:rPr>
          <w:t>.</w:t>
        </w:r>
        <w:r w:rsidRPr="001A60AB">
          <w:rPr>
            <w:rStyle w:val="a4"/>
            <w:b/>
            <w:sz w:val="22"/>
            <w:szCs w:val="22"/>
            <w:lang w:val="en-US"/>
          </w:rPr>
          <w:t>ru</w:t>
        </w:r>
        <w:r w:rsidRPr="001A60AB">
          <w:rPr>
            <w:rStyle w:val="a4"/>
            <w:b/>
            <w:sz w:val="22"/>
            <w:szCs w:val="22"/>
          </w:rPr>
          <w:t>/</w:t>
        </w:r>
      </w:hyperlink>
      <w:r>
        <w:rPr>
          <w:b/>
          <w:sz w:val="22"/>
          <w:szCs w:val="22"/>
        </w:rPr>
        <w:t xml:space="preserve"> на 6 сентября 2023г.</w:t>
      </w:r>
    </w:p>
    <w:p w:rsidR="0095069D" w:rsidRDefault="0095069D" w:rsidP="0095069D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95069D" w:rsidRDefault="0095069D" w:rsidP="0095069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в электронной форме </w:t>
      </w:r>
      <w:r>
        <w:rPr>
          <w:sz w:val="22"/>
          <w:szCs w:val="22"/>
        </w:rPr>
        <w:t>по продаже в собственность земельных участков</w:t>
      </w:r>
      <w:r w:rsidRPr="000A79F8">
        <w:t xml:space="preserve"> </w:t>
      </w:r>
      <w:r w:rsidRPr="000A79F8">
        <w:rPr>
          <w:sz w:val="22"/>
          <w:szCs w:val="22"/>
        </w:rPr>
        <w:t>на электронной торгово</w:t>
      </w:r>
      <w:r>
        <w:rPr>
          <w:sz w:val="22"/>
          <w:szCs w:val="22"/>
        </w:rPr>
        <w:t xml:space="preserve">й площадке АО «Сбербанк - АСТ», </w:t>
      </w:r>
      <w:r w:rsidRPr="000A79F8">
        <w:rPr>
          <w:sz w:val="22"/>
          <w:szCs w:val="22"/>
        </w:rPr>
        <w:t>http://utp.sberbank-ast.ru/</w:t>
      </w:r>
      <w:r>
        <w:rPr>
          <w:sz w:val="22"/>
          <w:szCs w:val="22"/>
        </w:rPr>
        <w:t xml:space="preserve"> (1 лот):</w:t>
      </w:r>
    </w:p>
    <w:p w:rsidR="0095069D" w:rsidRDefault="0095069D" w:rsidP="0095069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787"/>
        <w:gridCol w:w="1701"/>
        <w:gridCol w:w="1417"/>
        <w:gridCol w:w="1418"/>
        <w:gridCol w:w="1134"/>
        <w:gridCol w:w="1134"/>
        <w:gridCol w:w="1003"/>
      </w:tblGrid>
      <w:tr w:rsidR="0095069D" w:rsidTr="00AA0A7E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95069D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95069D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95069D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95069D" w:rsidRDefault="0095069D" w:rsidP="00AA0A7E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069D" w:rsidRDefault="0095069D" w:rsidP="00AA0A7E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95069D" w:rsidTr="00AA0A7E">
        <w:trPr>
          <w:trHeight w:val="29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Pr="002B4618" w:rsidRDefault="0095069D" w:rsidP="00AA0A7E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16457">
              <w:rPr>
                <w:b/>
                <w:sz w:val="18"/>
                <w:szCs w:val="18"/>
                <w:lang w:eastAsia="en-US"/>
              </w:rPr>
              <w:t>из категории земель: «Земли сельскохозяйственного назначения»:</w:t>
            </w:r>
          </w:p>
        </w:tc>
      </w:tr>
      <w:tr w:rsidR="0095069D" w:rsidTr="00AA0A7E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Default="0095069D" w:rsidP="00AA0A7E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Pr="00597791" w:rsidRDefault="0095069D" w:rsidP="00AA0A7E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24A8A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Pr="00597791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6457">
              <w:rPr>
                <w:sz w:val="16"/>
                <w:szCs w:val="18"/>
                <w:lang w:eastAsia="en-US"/>
              </w:rPr>
              <w:t>397 407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Pr="00CD4E73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95069D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6457">
              <w:rPr>
                <w:sz w:val="16"/>
                <w:szCs w:val="18"/>
                <w:lang w:eastAsia="en-US"/>
              </w:rPr>
              <w:t>74:19:1603001:21</w:t>
            </w:r>
          </w:p>
          <w:p w:rsidR="0095069D" w:rsidRPr="00597791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6457">
              <w:rPr>
                <w:sz w:val="16"/>
                <w:szCs w:val="18"/>
                <w:lang w:eastAsia="en-US"/>
              </w:rPr>
              <w:t>2 082 412,68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069D" w:rsidRPr="00CD4E73" w:rsidRDefault="0095069D" w:rsidP="00AA0A7E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95069D" w:rsidRDefault="0095069D" w:rsidP="00AA0A7E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95069D" w:rsidRPr="00597791" w:rsidRDefault="0095069D" w:rsidP="00AA0A7E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Pr="00597791" w:rsidRDefault="0095069D" w:rsidP="00AA0A7E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16457">
              <w:rPr>
                <w:sz w:val="16"/>
                <w:szCs w:val="18"/>
                <w:shd w:val="clear" w:color="auto" w:fill="F8F9FA"/>
                <w:lang w:eastAsia="en-US"/>
              </w:rPr>
              <w:t>растениеводство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Pr="00597791" w:rsidRDefault="0095069D" w:rsidP="00AA0A7E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16457">
              <w:rPr>
                <w:sz w:val="16"/>
                <w:szCs w:val="18"/>
                <w:shd w:val="clear" w:color="auto" w:fill="F8F9FA"/>
                <w:lang w:eastAsia="en-US"/>
              </w:rPr>
              <w:t xml:space="preserve">2 082 412,68 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069D" w:rsidRPr="00597791" w:rsidRDefault="0095069D" w:rsidP="00AA0A7E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16457">
              <w:rPr>
                <w:sz w:val="16"/>
                <w:szCs w:val="18"/>
                <w:shd w:val="clear" w:color="auto" w:fill="F8F9FA"/>
                <w:lang w:eastAsia="en-US"/>
              </w:rPr>
              <w:t xml:space="preserve">2 082 412,68 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069D" w:rsidRPr="00597791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62 472,38</w:t>
            </w:r>
          </w:p>
          <w:p w:rsidR="0095069D" w:rsidRDefault="0095069D" w:rsidP="00AA0A7E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95069D" w:rsidRDefault="0095069D" w:rsidP="0095069D">
      <w:pPr>
        <w:rPr>
          <w:b/>
          <w:sz w:val="22"/>
          <w:szCs w:val="22"/>
        </w:rPr>
      </w:pPr>
    </w:p>
    <w:p w:rsidR="0095069D" w:rsidRDefault="0095069D" w:rsidP="0095069D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95069D" w:rsidRDefault="0095069D" w:rsidP="0095069D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95069D" w:rsidRDefault="0095069D" w:rsidP="0095069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95069D" w:rsidRDefault="0095069D" w:rsidP="0095069D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95069D" w:rsidRDefault="0095069D" w:rsidP="0095069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95069D" w:rsidRDefault="0095069D" w:rsidP="0095069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A91B54">
        <w:rPr>
          <w:sz w:val="24"/>
          <w:szCs w:val="24"/>
        </w:rPr>
        <w:t>в электронной форме.</w:t>
      </w:r>
    </w:p>
    <w:p w:rsidR="0095069D" w:rsidRPr="005C6A76" w:rsidRDefault="0095069D" w:rsidP="0095069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2 августа 2023 года.</w:t>
      </w:r>
    </w:p>
    <w:p w:rsidR="0095069D" w:rsidRDefault="0095069D" w:rsidP="0095069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1 сентября 2023 года.</w:t>
      </w:r>
    </w:p>
    <w:p w:rsidR="0095069D" w:rsidRDefault="0095069D" w:rsidP="0095069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0A79F8">
        <w:rPr>
          <w:rFonts w:eastAsiaTheme="minorEastAsia"/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  <w:r>
        <w:rPr>
          <w:rFonts w:eastAsiaTheme="minorEastAsia"/>
          <w:sz w:val="22"/>
          <w:szCs w:val="22"/>
        </w:rPr>
        <w:t xml:space="preserve"> Дополнительная информация 8(35144)90356.</w:t>
      </w:r>
    </w:p>
    <w:p w:rsidR="0095069D" w:rsidRPr="000A79F8" w:rsidRDefault="0095069D" w:rsidP="0095069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>
        <w:rPr>
          <w:rFonts w:eastAsiaTheme="minorEastAsia"/>
          <w:sz w:val="22"/>
          <w:szCs w:val="22"/>
        </w:rPr>
        <w:t>4 сентября</w:t>
      </w:r>
      <w:r w:rsidRPr="000A79F8">
        <w:rPr>
          <w:rFonts w:eastAsiaTheme="minorEastAsia"/>
          <w:sz w:val="22"/>
          <w:szCs w:val="22"/>
        </w:rPr>
        <w:t xml:space="preserve"> 2023 г</w:t>
      </w:r>
      <w:r>
        <w:rPr>
          <w:rFonts w:eastAsiaTheme="minorEastAsia"/>
          <w:sz w:val="22"/>
          <w:szCs w:val="22"/>
        </w:rPr>
        <w:t>ода.</w:t>
      </w:r>
    </w:p>
    <w:p w:rsidR="0095069D" w:rsidRDefault="0095069D" w:rsidP="0095069D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 w:rsidRPr="00716457">
        <w:rPr>
          <w:rFonts w:eastAsiaTheme="minorEastAsia"/>
          <w:sz w:val="22"/>
          <w:szCs w:val="22"/>
        </w:rPr>
        <w:t>6 сентября</w:t>
      </w:r>
      <w:r>
        <w:rPr>
          <w:rFonts w:eastAsiaTheme="minorEastAsia"/>
          <w:sz w:val="22"/>
          <w:szCs w:val="22"/>
        </w:rPr>
        <w:t xml:space="preserve"> 2023 года в 11.30 по местному времени </w:t>
      </w:r>
      <w:r w:rsidRPr="000A79F8">
        <w:rPr>
          <w:rFonts w:eastAsiaTheme="minorEastAsia"/>
          <w:sz w:val="22"/>
          <w:szCs w:val="22"/>
        </w:rPr>
        <w:t>на электронной площадке</w:t>
      </w:r>
      <w:r>
        <w:rPr>
          <w:rFonts w:eastAsiaTheme="minorEastAsia"/>
          <w:sz w:val="22"/>
          <w:szCs w:val="22"/>
        </w:rPr>
        <w:t xml:space="preserve"> </w:t>
      </w:r>
      <w:r w:rsidRPr="000A79F8">
        <w:rPr>
          <w:rFonts w:eastAsiaTheme="minorEastAsia"/>
          <w:sz w:val="22"/>
          <w:szCs w:val="22"/>
        </w:rPr>
        <w:t xml:space="preserve">АО «Сбербанк-АСТ», на сайте: </w:t>
      </w:r>
      <w:hyperlink r:id="rId10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95069D" w:rsidRPr="000A79F8" w:rsidRDefault="0095069D" w:rsidP="0095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A79F8">
        <w:rPr>
          <w:rFonts w:eastAsiaTheme="minorEastAsia"/>
          <w:sz w:val="22"/>
          <w:szCs w:val="22"/>
        </w:rPr>
        <w:t xml:space="preserve">9. </w:t>
      </w:r>
      <w:r>
        <w:rPr>
          <w:sz w:val="22"/>
          <w:szCs w:val="22"/>
        </w:rPr>
        <w:t xml:space="preserve">Оператор электронной площадки </w:t>
      </w:r>
      <w:r w:rsidRPr="000A79F8">
        <w:rPr>
          <w:color w:val="333333"/>
          <w:sz w:val="22"/>
          <w:szCs w:val="22"/>
        </w:rPr>
        <w:t>А</w:t>
      </w:r>
      <w:r w:rsidRPr="000A79F8">
        <w:rPr>
          <w:sz w:val="22"/>
          <w:szCs w:val="22"/>
        </w:rPr>
        <w:t>кционерное общество «Сбербанк - Автоматизированная система торгов»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A79F8">
        <w:rPr>
          <w:color w:val="333333"/>
          <w:sz w:val="22"/>
          <w:szCs w:val="22"/>
        </w:rPr>
        <w:t>(АО «Сбербанк – АСТ»)</w:t>
      </w:r>
      <w:r w:rsidRPr="000A79F8">
        <w:rPr>
          <w:sz w:val="22"/>
          <w:szCs w:val="22"/>
        </w:rPr>
        <w:t xml:space="preserve"> </w:t>
      </w:r>
      <w:r w:rsidRPr="000A79F8">
        <w:rPr>
          <w:sz w:val="22"/>
          <w:szCs w:val="22"/>
          <w:lang w:val="en-US"/>
        </w:rPr>
        <w:t>htth</w:t>
      </w:r>
      <w:r w:rsidRPr="000A79F8">
        <w:rPr>
          <w:sz w:val="22"/>
          <w:szCs w:val="22"/>
        </w:rPr>
        <w:t>://</w:t>
      </w:r>
      <w:hyperlink r:id="rId11" w:history="1">
        <w:r w:rsidRPr="000A79F8">
          <w:rPr>
            <w:color w:val="0000FF"/>
            <w:sz w:val="22"/>
            <w:szCs w:val="22"/>
            <w:u w:val="single"/>
          </w:rPr>
          <w:t>www.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0A79F8">
          <w:rPr>
            <w:color w:val="0000FF"/>
            <w:sz w:val="22"/>
            <w:szCs w:val="22"/>
            <w:u w:val="single"/>
          </w:rPr>
          <w:t>-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ast</w:t>
        </w:r>
        <w:r w:rsidRPr="000A79F8">
          <w:rPr>
            <w:color w:val="0000FF"/>
            <w:sz w:val="22"/>
            <w:szCs w:val="22"/>
            <w:u w:val="single"/>
          </w:rPr>
          <w:t>.ru/</w:t>
        </w:r>
      </w:hyperlink>
      <w:r w:rsidRPr="000A79F8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95069D" w:rsidRPr="000A79F8" w:rsidRDefault="0095069D" w:rsidP="0095069D">
      <w:pPr>
        <w:autoSpaceDE/>
        <w:autoSpaceDN/>
        <w:adjustRightInd/>
        <w:ind w:firstLine="708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Юридический адрес:</w:t>
      </w:r>
      <w:r w:rsidRPr="000A79F8">
        <w:rPr>
          <w:sz w:val="22"/>
          <w:szCs w:val="22"/>
        </w:rPr>
        <w:t xml:space="preserve"> 119435, г. Москва, Большой Саввинский пер., д. 12</w:t>
      </w:r>
      <w:r>
        <w:rPr>
          <w:sz w:val="22"/>
          <w:szCs w:val="22"/>
        </w:rPr>
        <w:t xml:space="preserve">, стр. 9, эт. 1, пом.1, комн. </w:t>
      </w:r>
    </w:p>
    <w:p w:rsidR="0095069D" w:rsidRPr="000A79F8" w:rsidRDefault="0095069D" w:rsidP="0095069D">
      <w:pPr>
        <w:autoSpaceDE/>
        <w:autoSpaceDN/>
        <w:adjustRightInd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Почтовый адрес:</w:t>
      </w:r>
      <w:r w:rsidRPr="000A79F8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95069D" w:rsidRPr="005F6D87" w:rsidRDefault="0095069D" w:rsidP="0095069D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Средства платежа:</w:t>
      </w:r>
      <w:r w:rsidRPr="005F6D87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21681C" w:rsidRPr="0095069D" w:rsidRDefault="0095069D" w:rsidP="0095069D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Порядок осмотра земельного участка:</w:t>
      </w:r>
      <w:r w:rsidRPr="005F6D87">
        <w:rPr>
          <w:rFonts w:ascii="Times New Roman" w:hAnsi="Times New Roman" w:cs="Times New Roman"/>
        </w:rPr>
        <w:t xml:space="preserve"> осмотр земельного уч</w:t>
      </w:r>
      <w:r>
        <w:rPr>
          <w:rFonts w:ascii="Times New Roman" w:hAnsi="Times New Roman" w:cs="Times New Roman"/>
        </w:rPr>
        <w:t>астка производится заявителем са</w:t>
      </w:r>
      <w:r w:rsidRPr="005F6D87">
        <w:rPr>
          <w:rFonts w:ascii="Times New Roman" w:hAnsi="Times New Roman" w:cs="Times New Roman"/>
        </w:rPr>
        <w:t>мостоятельно.</w:t>
      </w:r>
      <w:r>
        <w:rPr>
          <w:rFonts w:ascii="Times New Roman" w:hAnsi="Times New Roman" w:cs="Times New Roman"/>
        </w:rPr>
        <w:t xml:space="preserve"> </w:t>
      </w:r>
    </w:p>
    <w:p w:rsid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 w:rsidR="0095069D">
        <w:rPr>
          <w:u w:val="single"/>
        </w:rPr>
        <w:t>1</w:t>
      </w:r>
      <w:r w:rsidRPr="00C57A9C">
        <w:rPr>
          <w:u w:val="single"/>
        </w:rPr>
        <w:t>:</w:t>
      </w:r>
    </w:p>
    <w:p w:rsidR="0060683E" w:rsidRPr="00C57A9C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50776B" w:rsidRPr="0089436B" w:rsidRDefault="0050776B" w:rsidP="0050776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 xml:space="preserve">Основание проведения аукциона: </w:t>
      </w:r>
      <w:r w:rsidRPr="008943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95069D">
        <w:rPr>
          <w:sz w:val="22"/>
          <w:szCs w:val="22"/>
        </w:rPr>
        <w:t>31.07</w:t>
      </w:r>
      <w:r>
        <w:rPr>
          <w:sz w:val="22"/>
          <w:szCs w:val="22"/>
        </w:rPr>
        <w:t>.2023</w:t>
      </w:r>
      <w:r w:rsidRPr="0089436B">
        <w:rPr>
          <w:sz w:val="22"/>
          <w:szCs w:val="22"/>
        </w:rPr>
        <w:t xml:space="preserve"> г. № </w:t>
      </w:r>
      <w:r w:rsidR="0095069D">
        <w:rPr>
          <w:sz w:val="22"/>
          <w:szCs w:val="22"/>
        </w:rPr>
        <w:t>65</w:t>
      </w:r>
      <w:r w:rsidRPr="0089436B">
        <w:rPr>
          <w:sz w:val="22"/>
          <w:szCs w:val="22"/>
        </w:rPr>
        <w:t xml:space="preserve">/ЗО «О продаже на аукционе </w:t>
      </w:r>
      <w:r>
        <w:rPr>
          <w:sz w:val="22"/>
          <w:szCs w:val="22"/>
        </w:rPr>
        <w:t xml:space="preserve">в собственность земельного участка, </w:t>
      </w:r>
      <w:r w:rsidRPr="0089436B">
        <w:rPr>
          <w:sz w:val="22"/>
          <w:szCs w:val="22"/>
        </w:rPr>
        <w:t xml:space="preserve">площадью </w:t>
      </w:r>
      <w:r w:rsidR="0095069D">
        <w:rPr>
          <w:sz w:val="22"/>
          <w:szCs w:val="22"/>
        </w:rPr>
        <w:t>397 407</w:t>
      </w:r>
      <w:r>
        <w:rPr>
          <w:sz w:val="22"/>
          <w:szCs w:val="22"/>
        </w:rPr>
        <w:t xml:space="preserve"> </w:t>
      </w:r>
      <w:r w:rsidRPr="0089436B">
        <w:rPr>
          <w:sz w:val="22"/>
          <w:szCs w:val="22"/>
        </w:rPr>
        <w:t>кв.м., расположенного по адресу: Челябинская область, Сосновский район</w:t>
      </w:r>
      <w:r>
        <w:rPr>
          <w:sz w:val="22"/>
          <w:szCs w:val="22"/>
        </w:rPr>
        <w:t xml:space="preserve">, </w:t>
      </w:r>
      <w:r w:rsidRPr="0089436B">
        <w:rPr>
          <w:sz w:val="22"/>
          <w:szCs w:val="22"/>
        </w:rPr>
        <w:t xml:space="preserve">для </w:t>
      </w:r>
      <w:r w:rsidR="0095069D">
        <w:rPr>
          <w:sz w:val="22"/>
          <w:szCs w:val="22"/>
        </w:rPr>
        <w:t>растениеводства</w:t>
      </w:r>
      <w:r w:rsidRPr="0089436B">
        <w:rPr>
          <w:sz w:val="22"/>
          <w:szCs w:val="22"/>
        </w:rPr>
        <w:t>».</w:t>
      </w:r>
    </w:p>
    <w:p w:rsidR="0050776B" w:rsidRPr="0089436B" w:rsidRDefault="0050776B" w:rsidP="005077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>Предмет аукциона</w:t>
      </w:r>
      <w:r w:rsidRPr="0089436B">
        <w:rPr>
          <w:sz w:val="22"/>
          <w:szCs w:val="22"/>
        </w:rPr>
        <w:t xml:space="preserve">: земельный участок площадью </w:t>
      </w:r>
      <w:r w:rsidR="0095069D">
        <w:rPr>
          <w:sz w:val="22"/>
          <w:szCs w:val="22"/>
        </w:rPr>
        <w:t>397 407</w:t>
      </w:r>
      <w:r w:rsidRPr="0089436B">
        <w:rPr>
          <w:sz w:val="22"/>
          <w:szCs w:val="22"/>
        </w:rPr>
        <w:t xml:space="preserve"> кв.м., с кадастровым номером 74:19:</w:t>
      </w:r>
      <w:r w:rsidR="0095069D">
        <w:rPr>
          <w:sz w:val="22"/>
          <w:szCs w:val="22"/>
        </w:rPr>
        <w:t>1603001:21</w:t>
      </w:r>
      <w:r w:rsidRPr="0089436B">
        <w:rPr>
          <w:sz w:val="22"/>
          <w:szCs w:val="22"/>
        </w:rPr>
        <w:t xml:space="preserve">, расположенный по адресу: </w:t>
      </w:r>
      <w:r w:rsidRPr="009F12AB">
        <w:rPr>
          <w:sz w:val="22"/>
          <w:szCs w:val="22"/>
        </w:rPr>
        <w:t xml:space="preserve">Челябинская область, Сосновский район, </w:t>
      </w:r>
      <w:r w:rsidRPr="0089436B">
        <w:rPr>
          <w:sz w:val="22"/>
          <w:szCs w:val="22"/>
        </w:rPr>
        <w:t>(далее - земельный участок).</w:t>
      </w:r>
    </w:p>
    <w:p w:rsidR="0050776B" w:rsidRPr="008943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>Категория земель: «</w:t>
      </w:r>
      <w:r w:rsidRPr="0089436B">
        <w:rPr>
          <w:sz w:val="22"/>
          <w:szCs w:val="22"/>
        </w:rPr>
        <w:t xml:space="preserve">земли сельскохозяйственного назначения». </w:t>
      </w:r>
    </w:p>
    <w:p w:rsidR="005077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b/>
          <w:sz w:val="22"/>
          <w:szCs w:val="22"/>
        </w:rPr>
        <w:t>Вид разрешенного использования земельного участка:</w:t>
      </w:r>
      <w:r w:rsidRPr="0089436B">
        <w:rPr>
          <w:sz w:val="22"/>
          <w:szCs w:val="22"/>
        </w:rPr>
        <w:t xml:space="preserve"> </w:t>
      </w:r>
      <w:r w:rsidRPr="0050776B">
        <w:rPr>
          <w:sz w:val="22"/>
          <w:szCs w:val="22"/>
        </w:rPr>
        <w:t xml:space="preserve">для </w:t>
      </w:r>
      <w:r w:rsidR="0095069D">
        <w:rPr>
          <w:sz w:val="22"/>
          <w:szCs w:val="22"/>
        </w:rPr>
        <w:t>ратениеводства</w:t>
      </w:r>
      <w:r>
        <w:rPr>
          <w:sz w:val="22"/>
          <w:szCs w:val="22"/>
        </w:rPr>
        <w:t>.</w:t>
      </w:r>
    </w:p>
    <w:p w:rsidR="0050776B" w:rsidRPr="008943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2" w:history="1">
        <w:r w:rsidRPr="0089436B">
          <w:rPr>
            <w:rStyle w:val="a4"/>
            <w:sz w:val="22"/>
            <w:szCs w:val="22"/>
            <w:lang w:val="en-US"/>
          </w:rPr>
          <w:t>http</w:t>
        </w:r>
        <w:r w:rsidRPr="0089436B">
          <w:rPr>
            <w:rStyle w:val="a4"/>
            <w:sz w:val="22"/>
            <w:szCs w:val="22"/>
          </w:rPr>
          <w:t>://</w:t>
        </w:r>
        <w:r w:rsidRPr="0089436B">
          <w:rPr>
            <w:rStyle w:val="a4"/>
            <w:sz w:val="22"/>
            <w:szCs w:val="22"/>
            <w:lang w:val="en-US"/>
          </w:rPr>
          <w:t>pkk</w:t>
        </w:r>
        <w:r w:rsidRPr="0089436B">
          <w:rPr>
            <w:rStyle w:val="a4"/>
            <w:sz w:val="22"/>
            <w:szCs w:val="22"/>
          </w:rPr>
          <w:t>5.</w:t>
        </w:r>
        <w:r w:rsidRPr="0089436B">
          <w:rPr>
            <w:rStyle w:val="a4"/>
            <w:sz w:val="22"/>
            <w:szCs w:val="22"/>
            <w:lang w:val="en-US"/>
          </w:rPr>
          <w:t>rosreestr</w:t>
        </w:r>
        <w:r w:rsidRPr="0089436B">
          <w:rPr>
            <w:rStyle w:val="a4"/>
            <w:sz w:val="22"/>
            <w:szCs w:val="22"/>
          </w:rPr>
          <w:t>.</w:t>
        </w:r>
        <w:r w:rsidRPr="0089436B">
          <w:rPr>
            <w:rStyle w:val="a4"/>
            <w:sz w:val="22"/>
            <w:szCs w:val="22"/>
            <w:lang w:val="en-US"/>
          </w:rPr>
          <w:t>ru</w:t>
        </w:r>
      </w:hyperlink>
      <w:r w:rsidRPr="0089436B">
        <w:rPr>
          <w:sz w:val="22"/>
          <w:szCs w:val="22"/>
        </w:rPr>
        <w:t>.</w:t>
      </w:r>
    </w:p>
    <w:p w:rsidR="0050776B" w:rsidRPr="0089436B" w:rsidRDefault="0050776B" w:rsidP="005077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89436B">
        <w:rPr>
          <w:sz w:val="22"/>
          <w:szCs w:val="22"/>
        </w:rPr>
        <w:lastRenderedPageBreak/>
        <w:t>Земельный участок неделим, свободен от застройки.</w:t>
      </w:r>
    </w:p>
    <w:p w:rsidR="00A17C19" w:rsidRPr="0095069D" w:rsidRDefault="0050776B" w:rsidP="0095069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17C19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95069D">
        <w:rPr>
          <w:sz w:val="22"/>
          <w:szCs w:val="22"/>
        </w:rPr>
        <w:t>отсутствует.</w:t>
      </w:r>
    </w:p>
    <w:p w:rsidR="0095069D" w:rsidRPr="0095069D" w:rsidRDefault="00A17C19" w:rsidP="0095069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7C19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="0095069D" w:rsidRPr="0095069D">
        <w:rPr>
          <w:rFonts w:ascii="Times New Roman" w:hAnsi="Times New Roman" w:cs="Times New Roman"/>
          <w:sz w:val="22"/>
          <w:szCs w:val="22"/>
        </w:rPr>
        <w:t>Начальная цена лота (цена продажи земельного участка) – 2 082 412 (два миллиона восемьдесят две тысячи четыреста двенадцать) рублей 68 копеек, что составляет 100% от кадастровой стоимости земельного участка;</w:t>
      </w:r>
    </w:p>
    <w:p w:rsidR="0095069D" w:rsidRPr="0095069D" w:rsidRDefault="0095069D" w:rsidP="0095069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5069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069D">
        <w:rPr>
          <w:rFonts w:ascii="Times New Roman" w:hAnsi="Times New Roman" w:cs="Times New Roman"/>
          <w:sz w:val="22"/>
          <w:szCs w:val="22"/>
        </w:rPr>
        <w:t xml:space="preserve"> – 62 472 (шестьдесят две тысячи четыреста семьдесят два) рубля 38 копеек, установлен в пределах 3% начальной цены лота;</w:t>
      </w:r>
    </w:p>
    <w:p w:rsidR="0050776B" w:rsidRPr="00C1044C" w:rsidRDefault="0095069D" w:rsidP="0095069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5069D">
        <w:rPr>
          <w:rFonts w:ascii="Times New Roman" w:hAnsi="Times New Roman" w:cs="Times New Roman"/>
          <w:b/>
          <w:sz w:val="22"/>
          <w:szCs w:val="22"/>
        </w:rPr>
        <w:t>Задаток для участия в аукционе</w:t>
      </w:r>
      <w:r w:rsidRPr="0095069D">
        <w:rPr>
          <w:rFonts w:ascii="Times New Roman" w:hAnsi="Times New Roman" w:cs="Times New Roman"/>
          <w:sz w:val="22"/>
          <w:szCs w:val="22"/>
        </w:rPr>
        <w:t xml:space="preserve"> –  2 082 412 (два миллиона восемьдесят две тысячи четыреста двенадцать) рублей 38 копеек, что составляет 100% от начальной цены лота.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776B"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50776B" w:rsidRPr="00C1044C" w:rsidRDefault="0050776B" w:rsidP="0050776B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50776B" w:rsidRPr="00C1044C" w:rsidRDefault="0050776B" w:rsidP="0050776B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A17C19" w:rsidRPr="00A17C19">
        <w:rPr>
          <w:sz w:val="22"/>
          <w:szCs w:val="22"/>
        </w:rPr>
        <w:t xml:space="preserve">для </w:t>
      </w:r>
      <w:r w:rsidR="009806C9">
        <w:rPr>
          <w:sz w:val="22"/>
          <w:szCs w:val="22"/>
        </w:rPr>
        <w:t>растениеводства</w:t>
      </w:r>
      <w:bookmarkStart w:id="0" w:name="_GoBack"/>
      <w:bookmarkEnd w:id="0"/>
      <w:r w:rsidR="00A17C19" w:rsidRPr="00A17C19">
        <w:rPr>
          <w:sz w:val="22"/>
          <w:szCs w:val="22"/>
        </w:rPr>
        <w:t>.</w:t>
      </w:r>
    </w:p>
    <w:p w:rsidR="0050776B" w:rsidRPr="00C1044C" w:rsidRDefault="0050776B" w:rsidP="0050776B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50776B" w:rsidRDefault="0050776B" w:rsidP="005077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13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740BA2">
        <w:rPr>
          <w:rFonts w:eastAsiaTheme="minorEastAsia"/>
          <w:b/>
          <w:sz w:val="22"/>
          <w:szCs w:val="22"/>
        </w:rPr>
        <w:t>12.05.</w:t>
      </w:r>
      <w:r w:rsidR="00F8783D">
        <w:rPr>
          <w:rFonts w:eastAsiaTheme="minorEastAsia"/>
          <w:b/>
          <w:sz w:val="22"/>
          <w:szCs w:val="22"/>
        </w:rPr>
        <w:t>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</w:t>
      </w:r>
      <w:r w:rsidRPr="00F8783D">
        <w:rPr>
          <w:rFonts w:eastAsiaTheme="minorEastAsia"/>
          <w:sz w:val="22"/>
          <w:szCs w:val="22"/>
        </w:rPr>
        <w:lastRenderedPageBreak/>
        <w:t>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14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15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16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766140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17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40" w:rsidRDefault="00766140" w:rsidP="00F47A56">
      <w:r>
        <w:separator/>
      </w:r>
    </w:p>
  </w:endnote>
  <w:endnote w:type="continuationSeparator" w:id="0">
    <w:p w:rsidR="00766140" w:rsidRDefault="00766140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40" w:rsidRDefault="00766140" w:rsidP="00F47A56">
      <w:r>
        <w:separator/>
      </w:r>
    </w:p>
  </w:footnote>
  <w:footnote w:type="continuationSeparator" w:id="0">
    <w:p w:rsidR="00766140" w:rsidRDefault="00766140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3A3B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3F9F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1681C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626B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3F7A66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0776B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63D1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4DA6"/>
    <w:rsid w:val="00605C21"/>
    <w:rsid w:val="0060683E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633E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140"/>
    <w:rsid w:val="00766E0A"/>
    <w:rsid w:val="00773C22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C62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069D"/>
    <w:rsid w:val="00953EDC"/>
    <w:rsid w:val="009575A5"/>
    <w:rsid w:val="00962D73"/>
    <w:rsid w:val="00963D9C"/>
    <w:rsid w:val="00964E59"/>
    <w:rsid w:val="009671DB"/>
    <w:rsid w:val="009706C3"/>
    <w:rsid w:val="00971C80"/>
    <w:rsid w:val="0097598C"/>
    <w:rsid w:val="009806C9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56AB"/>
    <w:rsid w:val="009F12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C19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0408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0402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2FCA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2E9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3CD9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97F37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33549"/>
    <w:rsid w:val="00E4359D"/>
    <w:rsid w:val="00E444F3"/>
    <w:rsid w:val="00E44BE0"/>
    <w:rsid w:val="00E4612E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2B3A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DCD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new/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&#1089;&#1086;&#1089;&#1085;&#1086;&#1074;&#1089;&#1082;&#1080;&#1081;74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3D0E-1726-49F8-B50A-1392691F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8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102</cp:revision>
  <cp:lastPrinted>2023-08-01T04:37:00Z</cp:lastPrinted>
  <dcterms:created xsi:type="dcterms:W3CDTF">2017-09-14T07:04:00Z</dcterms:created>
  <dcterms:modified xsi:type="dcterms:W3CDTF">2023-08-01T04:49:00Z</dcterms:modified>
</cp:coreProperties>
</file>